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63" w:after="163"/>
        <w:rPr>
          <w:rFonts w:cs="Times New Roman" w:eastAsiaTheme="minorEastAsia"/>
        </w:rPr>
      </w:pPr>
      <w:bookmarkStart w:id="0" w:name="_Toc505620909"/>
      <w:bookmarkStart w:id="1" w:name="_Toc17386517"/>
      <w:bookmarkStart w:id="2" w:name="_Toc24588"/>
      <w:r>
        <w:rPr>
          <w:rFonts w:cs="Times New Roman" w:eastAsiaTheme="minorEastAsia"/>
        </w:rPr>
        <w:t>环境影响评价结论及建议</w:t>
      </w:r>
      <w:bookmarkEnd w:id="0"/>
      <w:bookmarkEnd w:id="1"/>
      <w:bookmarkEnd w:id="2"/>
    </w:p>
    <w:p>
      <w:pPr>
        <w:pStyle w:val="4"/>
        <w:spacing w:before="163"/>
        <w:rPr>
          <w:rFonts w:cs="Times New Roman" w:eastAsiaTheme="minorEastAsia"/>
        </w:rPr>
      </w:pPr>
      <w:bookmarkStart w:id="3" w:name="_Toc17386518"/>
      <w:bookmarkStart w:id="4" w:name="_Toc17406"/>
      <w:r>
        <w:rPr>
          <w:rFonts w:cs="Times New Roman" w:eastAsiaTheme="minorEastAsia"/>
        </w:rPr>
        <w:t>结论</w:t>
      </w:r>
      <w:bookmarkEnd w:id="3"/>
      <w:bookmarkEnd w:id="4"/>
    </w:p>
    <w:p>
      <w:pPr>
        <w:pStyle w:val="5"/>
        <w:rPr>
          <w:rFonts w:eastAsiaTheme="minorEastAsia"/>
        </w:rPr>
      </w:pPr>
      <w:bookmarkStart w:id="5" w:name="_Toc498790655"/>
      <w:bookmarkStart w:id="6" w:name="_Toc17386519"/>
      <w:bookmarkStart w:id="7" w:name="_Toc500843646"/>
      <w:r>
        <w:rPr>
          <w:rFonts w:eastAsiaTheme="minorEastAsia"/>
        </w:rPr>
        <w:t>工程概况</w:t>
      </w:r>
      <w:bookmarkEnd w:id="5"/>
      <w:bookmarkEnd w:id="6"/>
      <w:bookmarkEnd w:id="7"/>
    </w:p>
    <w:p>
      <w:pPr>
        <w:pStyle w:val="11"/>
        <w:spacing w:line="360" w:lineRule="auto"/>
        <w:ind w:firstLine="480" w:firstLineChars="200"/>
        <w:rPr>
          <w:rFonts w:eastAsiaTheme="minorEastAsia"/>
          <w:sz w:val="24"/>
        </w:rPr>
      </w:pPr>
      <w:r>
        <w:rPr>
          <w:rFonts w:hint="eastAsia" w:eastAsiaTheme="minorEastAsia"/>
          <w:sz w:val="24"/>
        </w:rPr>
        <w:t>山东省天然气管道有限责任公司望留中心学校项目规划圈占淄青线管道迁改工程</w:t>
      </w:r>
      <w:r>
        <w:rPr>
          <w:rFonts w:eastAsiaTheme="minorEastAsia"/>
          <w:sz w:val="24"/>
        </w:rPr>
        <w:t>线路全线均在潍坊市</w:t>
      </w:r>
      <w:r>
        <w:rPr>
          <w:rFonts w:hint="eastAsia" w:eastAsiaTheme="minorEastAsia"/>
          <w:sz w:val="24"/>
        </w:rPr>
        <w:t>潍城区</w:t>
      </w:r>
      <w:r>
        <w:rPr>
          <w:rFonts w:eastAsiaTheme="minorEastAsia"/>
          <w:sz w:val="24"/>
        </w:rPr>
        <w:t>境内，改线起点</w:t>
      </w:r>
      <w:r>
        <w:rPr>
          <w:rFonts w:hint="eastAsia" w:eastAsiaTheme="minorEastAsia"/>
          <w:sz w:val="24"/>
        </w:rPr>
        <w:t>为测91+455#</w:t>
      </w:r>
      <w:r>
        <w:rPr>
          <w:rFonts w:eastAsiaTheme="minorEastAsia"/>
          <w:sz w:val="24"/>
        </w:rPr>
        <w:t>，</w:t>
      </w:r>
      <w:r>
        <w:rPr>
          <w:rFonts w:hint="eastAsia" w:eastAsiaTheme="minorEastAsia"/>
          <w:sz w:val="24"/>
        </w:rPr>
        <w:t>改线管道长1.32km</w:t>
      </w:r>
      <w:r>
        <w:rPr>
          <w:rFonts w:eastAsiaTheme="minorEastAsia"/>
          <w:sz w:val="24"/>
        </w:rPr>
        <w:t>。输</w:t>
      </w:r>
      <w:r>
        <w:rPr>
          <w:rFonts w:hint="eastAsia" w:eastAsiaTheme="minorEastAsia"/>
          <w:sz w:val="24"/>
        </w:rPr>
        <w:t>送</w:t>
      </w:r>
      <w:r>
        <w:rPr>
          <w:rFonts w:eastAsiaTheme="minorEastAsia"/>
          <w:sz w:val="24"/>
        </w:rPr>
        <w:t>介质为</w:t>
      </w:r>
      <w:r>
        <w:rPr>
          <w:rFonts w:hint="eastAsia" w:eastAsiaTheme="minorEastAsia"/>
          <w:sz w:val="24"/>
        </w:rPr>
        <w:t>天然气</w:t>
      </w:r>
      <w:r>
        <w:rPr>
          <w:rFonts w:eastAsiaTheme="minorEastAsia"/>
          <w:sz w:val="24"/>
        </w:rPr>
        <w:t>，全线无线路截断阀室。</w:t>
      </w:r>
      <w:r>
        <w:rPr>
          <w:sz w:val="24"/>
        </w:rPr>
        <w:t>原管道采用管材为</w:t>
      </w:r>
      <w:r>
        <w:rPr>
          <w:rFonts w:hint="eastAsia"/>
          <w:sz w:val="24"/>
        </w:rPr>
        <w:t>Φ508×12.5~11.1mm，L390的</w:t>
      </w:r>
      <w:r>
        <w:rPr>
          <w:sz w:val="24"/>
        </w:rPr>
        <w:t>直缝焊接钢管，设计压力</w:t>
      </w:r>
      <w:r>
        <w:rPr>
          <w:rFonts w:hint="eastAsia"/>
          <w:sz w:val="24"/>
        </w:rPr>
        <w:t>3.9</w:t>
      </w:r>
      <w:r>
        <w:rPr>
          <w:sz w:val="24"/>
        </w:rPr>
        <w:t>MPa。新改建管道选用直缝埋弧焊钢管，材质为</w:t>
      </w:r>
      <w:r>
        <w:rPr>
          <w:rFonts w:hint="eastAsia"/>
          <w:sz w:val="24"/>
        </w:rPr>
        <w:t>Φ508×12.5  SAWL  L415  PSL2级钢管</w:t>
      </w:r>
      <w:r>
        <w:rPr>
          <w:sz w:val="24"/>
        </w:rPr>
        <w:t>，管道沿规划</w:t>
      </w:r>
      <w:r>
        <w:rPr>
          <w:rFonts w:hint="eastAsia"/>
          <w:sz w:val="24"/>
        </w:rPr>
        <w:t>交通道路</w:t>
      </w:r>
      <w:r>
        <w:rPr>
          <w:sz w:val="24"/>
        </w:rPr>
        <w:t>敷设，改线长度共计</w:t>
      </w:r>
      <w:r>
        <w:rPr>
          <w:rFonts w:hint="eastAsia"/>
          <w:sz w:val="24"/>
        </w:rPr>
        <w:t>1.32</w:t>
      </w:r>
      <w:r>
        <w:rPr>
          <w:sz w:val="24"/>
        </w:rPr>
        <w:t>km。</w:t>
      </w:r>
      <w:r>
        <w:rPr>
          <w:rFonts w:eastAsiaTheme="minorEastAsia"/>
          <w:sz w:val="24"/>
        </w:rPr>
        <w:t>管道</w:t>
      </w:r>
      <w:r>
        <w:rPr>
          <w:rFonts w:hint="eastAsia" w:eastAsiaTheme="minorEastAsia"/>
          <w:sz w:val="24"/>
        </w:rPr>
        <w:t>穿越公路1</w:t>
      </w:r>
      <w:r>
        <w:rPr>
          <w:rFonts w:eastAsiaTheme="minorEastAsia"/>
          <w:sz w:val="24"/>
        </w:rPr>
        <w:t>处</w:t>
      </w:r>
      <w:r>
        <w:rPr>
          <w:rFonts w:hint="eastAsia" w:eastAsiaTheme="minorEastAsia"/>
          <w:sz w:val="24"/>
        </w:rPr>
        <w:t>，</w:t>
      </w:r>
      <w:r>
        <w:rPr>
          <w:rFonts w:eastAsiaTheme="minorEastAsia"/>
          <w:sz w:val="24"/>
        </w:rPr>
        <w:t>无</w:t>
      </w:r>
      <w:r>
        <w:rPr>
          <w:rFonts w:hint="eastAsia" w:eastAsiaTheme="minorEastAsia"/>
          <w:sz w:val="24"/>
        </w:rPr>
        <w:t>铁路、</w:t>
      </w:r>
      <w:r>
        <w:rPr>
          <w:rFonts w:eastAsiaTheme="minorEastAsia"/>
          <w:sz w:val="24"/>
        </w:rPr>
        <w:t>河流穿越工程。本工程线路较短，新建线路的巡线、生产及维护依托</w:t>
      </w:r>
      <w:r>
        <w:rPr>
          <w:rFonts w:hint="eastAsia" w:eastAsiaTheme="minorEastAsia"/>
          <w:sz w:val="24"/>
        </w:rPr>
        <w:t>山东省天然气管道有限责任公司</w:t>
      </w:r>
      <w:r>
        <w:rPr>
          <w:rFonts w:eastAsiaTheme="minorEastAsia"/>
          <w:sz w:val="24"/>
        </w:rPr>
        <w:t>已有的生产、值班人员，不新增定员。</w:t>
      </w:r>
    </w:p>
    <w:p>
      <w:pPr>
        <w:pStyle w:val="5"/>
        <w:rPr>
          <w:rFonts w:eastAsiaTheme="minorEastAsia"/>
        </w:rPr>
      </w:pPr>
      <w:bookmarkStart w:id="8" w:name="_Toc17386520"/>
      <w:r>
        <w:rPr>
          <w:rFonts w:eastAsiaTheme="minorEastAsia"/>
        </w:rPr>
        <w:t>环境质量现状</w:t>
      </w:r>
      <w:bookmarkEnd w:id="8"/>
    </w:p>
    <w:p>
      <w:pPr>
        <w:ind w:firstLine="480"/>
      </w:pPr>
      <w:r>
        <w:rPr>
          <w:rFonts w:hint="eastAsia"/>
        </w:rPr>
        <w:t>1、</w:t>
      </w:r>
      <w:r>
        <w:t>环境空气质量现状调查与评价</w:t>
      </w:r>
    </w:p>
    <w:p>
      <w:pPr>
        <w:pStyle w:val="11"/>
        <w:spacing w:line="360" w:lineRule="auto"/>
        <w:ind w:firstLine="480" w:firstLineChars="200"/>
        <w:rPr>
          <w:rFonts w:eastAsiaTheme="minorEastAsia"/>
          <w:sz w:val="24"/>
        </w:rPr>
      </w:pPr>
      <w:r>
        <w:rPr>
          <w:rFonts w:eastAsiaTheme="minorEastAsia"/>
          <w:sz w:val="24"/>
        </w:rPr>
        <w:t>工程所处区域为环境空气质量二类功能区。根据生态环境部环境工程评估中心环境空气质量模型技术支持服务系统达标区判定筛选结果，潍坊市属于不达标区。</w:t>
      </w:r>
    </w:p>
    <w:p>
      <w:pPr>
        <w:pStyle w:val="11"/>
        <w:spacing w:line="360" w:lineRule="auto"/>
        <w:ind w:firstLine="480" w:firstLineChars="200"/>
        <w:rPr>
          <w:rFonts w:eastAsiaTheme="minorEastAsia"/>
          <w:sz w:val="24"/>
        </w:rPr>
      </w:pPr>
      <w:r>
        <w:rPr>
          <w:rFonts w:ascii="宋体" w:hAnsi="宋体" w:cs="宋体"/>
          <w:sz w:val="24"/>
        </w:rPr>
        <w:t>本次环评监测期间，在项目厂址周围非甲烷总烃小时浓度均可以满足《大气污染物综合排放标准》详解限值要求。</w:t>
      </w:r>
    </w:p>
    <w:p>
      <w:pPr>
        <w:ind w:firstLine="480"/>
      </w:pPr>
      <w:r>
        <w:rPr>
          <w:rFonts w:hint="eastAsia"/>
        </w:rPr>
        <w:t>2、地表水环境现状调查与评价</w:t>
      </w:r>
    </w:p>
    <w:p>
      <w:pPr>
        <w:pStyle w:val="11"/>
        <w:spacing w:line="360" w:lineRule="auto"/>
        <w:ind w:firstLine="480" w:firstLineChars="200"/>
        <w:rPr>
          <w:rFonts w:eastAsiaTheme="minorEastAsia"/>
          <w:sz w:val="24"/>
        </w:rPr>
      </w:pPr>
      <w:r>
        <w:rPr>
          <w:rFonts w:eastAsiaTheme="minorEastAsia"/>
          <w:sz w:val="24"/>
        </w:rPr>
        <w:t>附近地表水体为</w:t>
      </w:r>
      <w:r>
        <w:rPr>
          <w:rFonts w:hint="eastAsia" w:eastAsiaTheme="minorEastAsia"/>
          <w:sz w:val="24"/>
        </w:rPr>
        <w:t>小圩河、白浪河</w:t>
      </w:r>
      <w:r>
        <w:rPr>
          <w:rFonts w:eastAsiaTheme="minorEastAsia"/>
          <w:sz w:val="24"/>
        </w:rPr>
        <w:t>，执行地表水</w:t>
      </w:r>
      <w:r>
        <w:rPr>
          <w:rFonts w:hint="eastAsia" w:ascii="宋体" w:hAnsi="宋体" w:cs="宋体"/>
          <w:sz w:val="24"/>
        </w:rPr>
        <w:t>Ⅴ</w:t>
      </w:r>
      <w:r>
        <w:rPr>
          <w:rFonts w:eastAsiaTheme="minorEastAsia"/>
          <w:sz w:val="24"/>
        </w:rPr>
        <w:t>类标准。经调查可知，</w:t>
      </w:r>
      <w:r>
        <w:rPr>
          <w:rFonts w:eastAsiaTheme="minorEastAsia"/>
          <w:bCs/>
          <w:kern w:val="0"/>
          <w:sz w:val="24"/>
        </w:rPr>
        <w:t>水质可以满足《地表水环境质量标准》（GB3838-2002）中</w:t>
      </w:r>
      <w:r>
        <w:rPr>
          <w:rFonts w:hint="eastAsia" w:ascii="宋体" w:hAnsi="宋体" w:cs="宋体"/>
          <w:bCs/>
          <w:kern w:val="0"/>
          <w:sz w:val="24"/>
        </w:rPr>
        <w:t>Ⅴ</w:t>
      </w:r>
      <w:r>
        <w:rPr>
          <w:rFonts w:eastAsiaTheme="minorEastAsia"/>
          <w:bCs/>
          <w:kern w:val="0"/>
          <w:sz w:val="24"/>
        </w:rPr>
        <w:t>类标准要求</w:t>
      </w:r>
      <w:r>
        <w:rPr>
          <w:rFonts w:eastAsiaTheme="minorEastAsia"/>
          <w:sz w:val="24"/>
        </w:rPr>
        <w:t>。</w:t>
      </w:r>
    </w:p>
    <w:p>
      <w:pPr>
        <w:ind w:firstLine="480"/>
      </w:pPr>
      <w:r>
        <w:rPr>
          <w:rFonts w:hint="eastAsia"/>
        </w:rPr>
        <w:t>3、地下水环境现状调查与评价</w:t>
      </w:r>
    </w:p>
    <w:p>
      <w:pPr>
        <w:pStyle w:val="11"/>
        <w:spacing w:line="360" w:lineRule="auto"/>
        <w:ind w:firstLine="480" w:firstLineChars="200"/>
        <w:rPr>
          <w:rFonts w:eastAsiaTheme="minorEastAsia"/>
          <w:sz w:val="24"/>
        </w:rPr>
      </w:pPr>
      <w:r>
        <w:rPr>
          <w:rFonts w:eastAsiaTheme="minorEastAsia"/>
          <w:sz w:val="24"/>
        </w:rPr>
        <w:t>评价区地下水质量较好，达到《地下水质量标准》</w:t>
      </w:r>
      <w:r>
        <w:rPr>
          <w:rFonts w:hint="eastAsia" w:eastAsiaTheme="minorEastAsia"/>
          <w:sz w:val="24"/>
        </w:rPr>
        <w:t>（</w:t>
      </w:r>
      <w:r>
        <w:rPr>
          <w:rFonts w:eastAsiaTheme="minorEastAsia"/>
          <w:sz w:val="24"/>
        </w:rPr>
        <w:t>GB/T14848-2017</w:t>
      </w:r>
      <w:r>
        <w:rPr>
          <w:rFonts w:hint="eastAsia" w:eastAsiaTheme="minorEastAsia"/>
          <w:sz w:val="24"/>
        </w:rPr>
        <w:t>）</w:t>
      </w:r>
      <w:r>
        <w:rPr>
          <w:rFonts w:hint="eastAsia" w:ascii="宋体" w:hAnsi="宋体" w:cs="宋体"/>
          <w:sz w:val="24"/>
        </w:rPr>
        <w:t>Ⅲ</w:t>
      </w:r>
      <w:r>
        <w:rPr>
          <w:rFonts w:eastAsiaTheme="minorEastAsia"/>
          <w:sz w:val="24"/>
        </w:rPr>
        <w:t>类标准。</w:t>
      </w:r>
    </w:p>
    <w:p>
      <w:pPr>
        <w:ind w:firstLine="480"/>
      </w:pPr>
      <w:r>
        <w:rPr>
          <w:rFonts w:hint="eastAsia"/>
        </w:rPr>
        <w:t>4、声环境现状调查与评价</w:t>
      </w:r>
    </w:p>
    <w:p>
      <w:pPr>
        <w:pStyle w:val="11"/>
        <w:spacing w:line="360" w:lineRule="auto"/>
        <w:ind w:firstLine="480" w:firstLineChars="200"/>
        <w:rPr>
          <w:rFonts w:eastAsiaTheme="minorEastAsia"/>
          <w:sz w:val="24"/>
        </w:rPr>
      </w:pPr>
      <w:r>
        <w:rPr>
          <w:rFonts w:eastAsiaTheme="minorEastAsia"/>
          <w:sz w:val="24"/>
        </w:rPr>
        <w:t>工程区声环境现状符合国家《声环境质量标准》</w:t>
      </w:r>
      <w:r>
        <w:rPr>
          <w:rFonts w:hint="eastAsia" w:eastAsiaTheme="minorEastAsia"/>
          <w:sz w:val="24"/>
        </w:rPr>
        <w:t>（</w:t>
      </w:r>
      <w:r>
        <w:rPr>
          <w:rFonts w:eastAsiaTheme="minorEastAsia"/>
          <w:sz w:val="24"/>
        </w:rPr>
        <w:t>GB3096-2008</w:t>
      </w:r>
      <w:r>
        <w:rPr>
          <w:rFonts w:hint="eastAsia" w:eastAsiaTheme="minorEastAsia"/>
          <w:sz w:val="24"/>
        </w:rPr>
        <w:t>）</w:t>
      </w:r>
      <w:r>
        <w:rPr>
          <w:rFonts w:eastAsiaTheme="minorEastAsia"/>
          <w:sz w:val="24"/>
        </w:rPr>
        <w:t>中的2类标准，区域声环境质量良好。</w:t>
      </w:r>
    </w:p>
    <w:p>
      <w:pPr>
        <w:pStyle w:val="5"/>
        <w:rPr>
          <w:rFonts w:eastAsiaTheme="minorEastAsia"/>
        </w:rPr>
      </w:pPr>
      <w:bookmarkStart w:id="9" w:name="_Toc527363029"/>
      <w:bookmarkStart w:id="10" w:name="_Toc17386521"/>
      <w:bookmarkStart w:id="11" w:name="_Toc3670"/>
      <w:bookmarkStart w:id="12" w:name="_Toc26952"/>
      <w:bookmarkStart w:id="13" w:name="_Toc27302"/>
      <w:bookmarkStart w:id="14" w:name="_Toc13920"/>
      <w:bookmarkStart w:id="15" w:name="_Toc8984"/>
      <w:bookmarkStart w:id="16" w:name="_Toc527362321"/>
      <w:bookmarkStart w:id="17" w:name="_Toc172"/>
      <w:bookmarkStart w:id="18" w:name="_Toc525633683"/>
      <w:bookmarkStart w:id="19" w:name="_Toc24870"/>
      <w:r>
        <w:rPr>
          <w:rFonts w:eastAsiaTheme="minorEastAsia"/>
        </w:rPr>
        <w:t>项目建设的可行性</w:t>
      </w:r>
      <w:bookmarkEnd w:id="9"/>
      <w:bookmarkEnd w:id="10"/>
      <w:bookmarkEnd w:id="11"/>
      <w:bookmarkEnd w:id="12"/>
      <w:bookmarkEnd w:id="13"/>
      <w:bookmarkEnd w:id="14"/>
      <w:bookmarkEnd w:id="15"/>
      <w:bookmarkEnd w:id="16"/>
      <w:bookmarkEnd w:id="17"/>
      <w:bookmarkEnd w:id="18"/>
      <w:bookmarkEnd w:id="19"/>
    </w:p>
    <w:p>
      <w:pPr>
        <w:ind w:firstLine="480"/>
      </w:pPr>
      <w:bookmarkStart w:id="20" w:name="_Toc9537"/>
      <w:bookmarkStart w:id="21" w:name="_Toc527362322"/>
      <w:bookmarkStart w:id="22" w:name="_Toc10967"/>
      <w:bookmarkStart w:id="23" w:name="_Toc22588"/>
      <w:bookmarkStart w:id="24" w:name="_Toc29187"/>
      <w:bookmarkStart w:id="25" w:name="_Toc30079"/>
      <w:bookmarkStart w:id="26" w:name="_Toc20477"/>
      <w:bookmarkStart w:id="27" w:name="_Toc525633684"/>
      <w:bookmarkStart w:id="28" w:name="_Toc29569"/>
      <w:bookmarkStart w:id="29" w:name="_Toc30591"/>
      <w:r>
        <w:rPr>
          <w:rFonts w:hint="eastAsia"/>
        </w:rPr>
        <w:t>1、产业政策符合性分析</w:t>
      </w:r>
      <w:bookmarkEnd w:id="20"/>
      <w:bookmarkEnd w:id="21"/>
      <w:bookmarkEnd w:id="22"/>
      <w:bookmarkEnd w:id="23"/>
      <w:bookmarkEnd w:id="24"/>
      <w:bookmarkEnd w:id="25"/>
      <w:bookmarkEnd w:id="26"/>
      <w:bookmarkEnd w:id="27"/>
      <w:bookmarkEnd w:id="28"/>
      <w:bookmarkEnd w:id="29"/>
    </w:p>
    <w:p>
      <w:pPr>
        <w:pStyle w:val="11"/>
        <w:spacing w:line="360" w:lineRule="auto"/>
        <w:ind w:firstLine="480" w:firstLineChars="200"/>
        <w:rPr>
          <w:rFonts w:eastAsiaTheme="minorEastAsia"/>
          <w:sz w:val="24"/>
        </w:rPr>
      </w:pPr>
      <w:r>
        <w:rPr>
          <w:rFonts w:eastAsiaTheme="minorEastAsia"/>
          <w:sz w:val="24"/>
        </w:rPr>
        <w:t>本项目为</w:t>
      </w:r>
      <w:r>
        <w:rPr>
          <w:rFonts w:hint="eastAsia" w:eastAsiaTheme="minorEastAsia"/>
          <w:sz w:val="24"/>
        </w:rPr>
        <w:t>天然气</w:t>
      </w:r>
      <w:r>
        <w:rPr>
          <w:rFonts w:eastAsiaTheme="minorEastAsia"/>
          <w:sz w:val="24"/>
        </w:rPr>
        <w:t>管线项目，属于《产业结构调整指导目录》</w:t>
      </w:r>
      <w:r>
        <w:rPr>
          <w:rFonts w:hint="eastAsia" w:eastAsiaTheme="minorEastAsia"/>
          <w:sz w:val="24"/>
        </w:rPr>
        <w:t>（2019年本）</w:t>
      </w:r>
      <w:r>
        <w:rPr>
          <w:rFonts w:eastAsiaTheme="minorEastAsia"/>
          <w:sz w:val="24"/>
        </w:rPr>
        <w:t>鼓励类“第七石油、天然气”中“3、原油、天然气、液化天然气、成品油的储运和管道输送设施及网络建设”项目，符合国家产业政策的要求。</w:t>
      </w:r>
    </w:p>
    <w:p>
      <w:pPr>
        <w:ind w:firstLine="480"/>
      </w:pPr>
      <w:bookmarkStart w:id="30" w:name="_Toc9118"/>
      <w:bookmarkStart w:id="31" w:name="_Toc9234"/>
      <w:bookmarkStart w:id="32" w:name="_Toc14165"/>
      <w:bookmarkStart w:id="33" w:name="_Toc11760"/>
      <w:bookmarkStart w:id="34" w:name="_Toc29365"/>
      <w:bookmarkStart w:id="35" w:name="_Toc11554"/>
      <w:bookmarkStart w:id="36" w:name="_Toc19255"/>
      <w:bookmarkStart w:id="37" w:name="_Toc25961"/>
      <w:bookmarkStart w:id="38" w:name="_Toc527362323"/>
      <w:bookmarkStart w:id="39" w:name="_Toc525633685"/>
      <w:r>
        <w:rPr>
          <w:rFonts w:hint="eastAsia"/>
        </w:rPr>
        <w:t>2、项目选线合理性分析</w:t>
      </w:r>
      <w:bookmarkEnd w:id="30"/>
      <w:bookmarkEnd w:id="31"/>
      <w:bookmarkEnd w:id="32"/>
      <w:bookmarkEnd w:id="33"/>
      <w:bookmarkEnd w:id="34"/>
      <w:bookmarkEnd w:id="35"/>
      <w:bookmarkEnd w:id="36"/>
      <w:bookmarkEnd w:id="37"/>
      <w:bookmarkEnd w:id="38"/>
      <w:bookmarkEnd w:id="39"/>
    </w:p>
    <w:p>
      <w:pPr>
        <w:pStyle w:val="11"/>
        <w:spacing w:line="360" w:lineRule="auto"/>
        <w:ind w:firstLine="480" w:firstLineChars="200"/>
        <w:rPr>
          <w:rFonts w:eastAsiaTheme="minorEastAsia"/>
          <w:sz w:val="24"/>
        </w:rPr>
      </w:pPr>
      <w:bookmarkStart w:id="40" w:name="_Toc527362324"/>
      <w:bookmarkStart w:id="41" w:name="_Toc32358"/>
      <w:bookmarkStart w:id="42" w:name="_Toc26853"/>
      <w:bookmarkStart w:id="43" w:name="_Toc622"/>
      <w:bookmarkStart w:id="44" w:name="_Toc29563"/>
      <w:bookmarkStart w:id="45" w:name="_Toc21931"/>
      <w:bookmarkStart w:id="46" w:name="_Toc525633686"/>
      <w:bookmarkStart w:id="47" w:name="_Toc3719"/>
      <w:bookmarkStart w:id="48" w:name="_Toc28692"/>
      <w:bookmarkStart w:id="49" w:name="_Toc19198"/>
      <w:r>
        <w:rPr>
          <w:rFonts w:eastAsiaTheme="minorEastAsia"/>
          <w:sz w:val="24"/>
        </w:rPr>
        <w:t>管线不涉自然保护区等敏感区域，无文物覆压；管线避开了较大河流等敏感水体，管线穿越水源保护区段采取了严格的污染防治措施，因此对周围地表水环境影响较小；管线路由不涉及拆迁，社会敏感性低；管线路由距离城市发展区域较远，均穿越较偏远乡镇，管道的通过性较好；管道进行了良好的防腐，因此正常工况下，管道的运营不会对周围环境带来影响。施工期会对生态环境造成一定影响，但项目对评价区生态系统结构和功能的负面影响是可逆的。随着施工期的结束，评价区生态系统可以逐渐恢复。管道的选线是可行的。</w:t>
      </w:r>
    </w:p>
    <w:bookmarkEnd w:id="40"/>
    <w:bookmarkEnd w:id="41"/>
    <w:bookmarkEnd w:id="42"/>
    <w:bookmarkEnd w:id="43"/>
    <w:bookmarkEnd w:id="44"/>
    <w:bookmarkEnd w:id="45"/>
    <w:bookmarkEnd w:id="46"/>
    <w:bookmarkEnd w:id="47"/>
    <w:bookmarkEnd w:id="48"/>
    <w:bookmarkEnd w:id="49"/>
    <w:p>
      <w:pPr>
        <w:pStyle w:val="5"/>
        <w:rPr>
          <w:rFonts w:eastAsiaTheme="minorEastAsia"/>
        </w:rPr>
      </w:pPr>
      <w:bookmarkStart w:id="50" w:name="_Toc527363030"/>
      <w:bookmarkStart w:id="51" w:name="_Toc16686"/>
      <w:bookmarkStart w:id="52" w:name="_Toc17875"/>
      <w:bookmarkStart w:id="53" w:name="_Toc27232"/>
      <w:bookmarkStart w:id="54" w:name="_Toc19968"/>
      <w:bookmarkStart w:id="55" w:name="_Toc527362325"/>
      <w:bookmarkStart w:id="56" w:name="_Toc6880"/>
      <w:bookmarkStart w:id="57" w:name="_Toc13907"/>
      <w:bookmarkStart w:id="58" w:name="_Toc525633687"/>
      <w:bookmarkStart w:id="59" w:name="_Toc11601"/>
      <w:bookmarkStart w:id="60" w:name="_Toc17386522"/>
      <w:r>
        <w:rPr>
          <w:rFonts w:eastAsiaTheme="minorEastAsia"/>
        </w:rPr>
        <w:t>环境影响评价</w:t>
      </w:r>
      <w:bookmarkEnd w:id="50"/>
      <w:bookmarkEnd w:id="51"/>
      <w:bookmarkEnd w:id="52"/>
      <w:bookmarkEnd w:id="53"/>
      <w:bookmarkEnd w:id="54"/>
      <w:bookmarkEnd w:id="55"/>
      <w:bookmarkEnd w:id="56"/>
      <w:bookmarkEnd w:id="57"/>
      <w:bookmarkEnd w:id="58"/>
      <w:bookmarkEnd w:id="59"/>
      <w:r>
        <w:rPr>
          <w:rFonts w:eastAsiaTheme="minorEastAsia"/>
        </w:rPr>
        <w:t>结论</w:t>
      </w:r>
      <w:bookmarkEnd w:id="60"/>
    </w:p>
    <w:p>
      <w:pPr>
        <w:ind w:firstLine="480"/>
      </w:pPr>
      <w:bookmarkStart w:id="61" w:name="_Toc3156"/>
      <w:bookmarkStart w:id="62" w:name="_Toc10423"/>
      <w:bookmarkStart w:id="63" w:name="_Toc7507"/>
      <w:bookmarkStart w:id="64" w:name="_Toc19954"/>
      <w:bookmarkStart w:id="65" w:name="_Toc525633688"/>
      <w:bookmarkStart w:id="66" w:name="_Toc527362326"/>
      <w:bookmarkStart w:id="67" w:name="_Toc23753"/>
      <w:bookmarkStart w:id="68" w:name="_Toc15153"/>
      <w:bookmarkStart w:id="69" w:name="_Toc31339"/>
      <w:bookmarkStart w:id="70" w:name="_Toc9620"/>
      <w:r>
        <w:rPr>
          <w:rFonts w:hint="eastAsia"/>
        </w:rPr>
        <w:t>1、生态环境影响评价</w:t>
      </w:r>
      <w:bookmarkEnd w:id="61"/>
      <w:bookmarkEnd w:id="62"/>
      <w:bookmarkEnd w:id="63"/>
      <w:bookmarkEnd w:id="64"/>
      <w:bookmarkEnd w:id="65"/>
      <w:bookmarkEnd w:id="66"/>
      <w:bookmarkEnd w:id="67"/>
      <w:bookmarkEnd w:id="68"/>
      <w:bookmarkEnd w:id="69"/>
      <w:bookmarkEnd w:id="70"/>
    </w:p>
    <w:p>
      <w:pPr>
        <w:pStyle w:val="11"/>
        <w:spacing w:line="360" w:lineRule="auto"/>
        <w:ind w:firstLine="480" w:firstLineChars="200"/>
        <w:rPr>
          <w:rFonts w:eastAsiaTheme="minorEastAsia"/>
          <w:sz w:val="24"/>
        </w:rPr>
      </w:pPr>
      <w:r>
        <w:rPr>
          <w:rFonts w:eastAsiaTheme="minorEastAsia"/>
          <w:sz w:val="24"/>
        </w:rPr>
        <w:t>（1）土地利用评价</w:t>
      </w:r>
    </w:p>
    <w:p>
      <w:pPr>
        <w:pStyle w:val="11"/>
        <w:spacing w:line="360" w:lineRule="auto"/>
        <w:ind w:firstLine="480" w:firstLineChars="200"/>
        <w:rPr>
          <w:rFonts w:eastAsiaTheme="minorEastAsia"/>
          <w:sz w:val="24"/>
        </w:rPr>
      </w:pPr>
      <w:r>
        <w:rPr>
          <w:rFonts w:eastAsiaTheme="minorEastAsia"/>
          <w:sz w:val="24"/>
        </w:rPr>
        <w:t>施工期，评价区工程占地范围内土地类型属于</w:t>
      </w:r>
      <w:r>
        <w:rPr>
          <w:rFonts w:hint="eastAsia" w:eastAsiaTheme="minorEastAsia"/>
          <w:sz w:val="24"/>
        </w:rPr>
        <w:t>农业用地、集体</w:t>
      </w:r>
      <w:r>
        <w:rPr>
          <w:rFonts w:eastAsiaTheme="minorEastAsia"/>
          <w:sz w:val="24"/>
        </w:rPr>
        <w:t>建设用地</w:t>
      </w:r>
      <w:r>
        <w:rPr>
          <w:rFonts w:hint="eastAsia" w:eastAsiaTheme="minorEastAsia"/>
          <w:sz w:val="24"/>
        </w:rPr>
        <w:t>、交通用地</w:t>
      </w:r>
      <w:r>
        <w:rPr>
          <w:rFonts w:eastAsiaTheme="minorEastAsia"/>
          <w:sz w:val="24"/>
        </w:rPr>
        <w:t>，本项目工程</w:t>
      </w:r>
      <w:r>
        <w:rPr>
          <w:rFonts w:hint="eastAsia" w:eastAsiaTheme="minorEastAsia"/>
          <w:sz w:val="24"/>
        </w:rPr>
        <w:t>,</w:t>
      </w:r>
      <w:r>
        <w:rPr>
          <w:rFonts w:eastAsiaTheme="minorEastAsia"/>
          <w:sz w:val="24"/>
        </w:rPr>
        <w:t>临时占地面积为</w:t>
      </w:r>
      <w:r>
        <w:rPr>
          <w:rFonts w:hint="eastAsia" w:eastAsiaTheme="minorEastAsia"/>
          <w:sz w:val="24"/>
        </w:rPr>
        <w:t>12900</w:t>
      </w:r>
      <w:r>
        <w:rPr>
          <w:rFonts w:eastAsiaTheme="minorEastAsia"/>
          <w:sz w:val="24"/>
        </w:rPr>
        <w:t>m</w:t>
      </w:r>
      <w:r>
        <w:rPr>
          <w:rFonts w:eastAsiaTheme="minorEastAsia"/>
          <w:sz w:val="24"/>
          <w:vertAlign w:val="superscript"/>
        </w:rPr>
        <w:t>2</w:t>
      </w:r>
      <w:r>
        <w:rPr>
          <w:rFonts w:eastAsiaTheme="minorEastAsia"/>
          <w:sz w:val="24"/>
        </w:rPr>
        <w:t>。</w:t>
      </w:r>
    </w:p>
    <w:p>
      <w:pPr>
        <w:pStyle w:val="11"/>
        <w:spacing w:line="360" w:lineRule="auto"/>
        <w:ind w:firstLine="480" w:firstLineChars="200"/>
        <w:rPr>
          <w:rFonts w:eastAsiaTheme="minorEastAsia"/>
          <w:sz w:val="24"/>
        </w:rPr>
      </w:pPr>
      <w:r>
        <w:rPr>
          <w:rFonts w:eastAsiaTheme="minorEastAsia"/>
          <w:sz w:val="24"/>
        </w:rPr>
        <w:t>运营期，本工程永久占地为</w:t>
      </w:r>
      <w:r>
        <w:rPr>
          <w:rFonts w:hint="eastAsia" w:eastAsiaTheme="minorEastAsia"/>
          <w:sz w:val="24"/>
        </w:rPr>
        <w:t>25</w:t>
      </w:r>
      <w:r>
        <w:rPr>
          <w:rFonts w:eastAsiaTheme="minorEastAsia"/>
          <w:sz w:val="24"/>
        </w:rPr>
        <w:t>m</w:t>
      </w:r>
      <w:r>
        <w:rPr>
          <w:rFonts w:eastAsiaTheme="minorEastAsia"/>
          <w:sz w:val="24"/>
          <w:vertAlign w:val="superscript"/>
        </w:rPr>
        <w:t>2</w:t>
      </w:r>
      <w:r>
        <w:rPr>
          <w:rFonts w:eastAsiaTheme="minorEastAsia"/>
          <w:sz w:val="24"/>
        </w:rPr>
        <w:t>，</w:t>
      </w:r>
      <w:r>
        <w:rPr>
          <w:rFonts w:hint="eastAsia" w:eastAsiaTheme="minorEastAsia"/>
          <w:sz w:val="24"/>
        </w:rPr>
        <w:t>其中农业用地10</w:t>
      </w:r>
      <w:r>
        <w:rPr>
          <w:rFonts w:eastAsiaTheme="minorEastAsia"/>
          <w:sz w:val="24"/>
        </w:rPr>
        <w:t>m</w:t>
      </w:r>
      <w:r>
        <w:rPr>
          <w:rFonts w:eastAsiaTheme="minorEastAsia"/>
          <w:sz w:val="24"/>
          <w:vertAlign w:val="superscript"/>
        </w:rPr>
        <w:t>2</w:t>
      </w:r>
      <w:r>
        <w:rPr>
          <w:rFonts w:hint="eastAsia" w:eastAsiaTheme="minorEastAsia"/>
          <w:sz w:val="24"/>
        </w:rPr>
        <w:t>，集体建设用地15</w:t>
      </w:r>
      <w:r>
        <w:rPr>
          <w:rFonts w:eastAsiaTheme="minorEastAsia"/>
          <w:sz w:val="24"/>
        </w:rPr>
        <w:t>m</w:t>
      </w:r>
      <w:r>
        <w:rPr>
          <w:rFonts w:eastAsiaTheme="minorEastAsia"/>
          <w:sz w:val="24"/>
          <w:vertAlign w:val="superscript"/>
        </w:rPr>
        <w:t>2</w:t>
      </w:r>
      <w:r>
        <w:rPr>
          <w:rFonts w:eastAsiaTheme="minorEastAsia"/>
          <w:sz w:val="24"/>
        </w:rPr>
        <w:t>。</w:t>
      </w:r>
    </w:p>
    <w:p>
      <w:pPr>
        <w:pStyle w:val="11"/>
        <w:spacing w:line="360" w:lineRule="auto"/>
        <w:ind w:firstLine="480" w:firstLineChars="200"/>
        <w:rPr>
          <w:rFonts w:eastAsiaTheme="minorEastAsia"/>
          <w:sz w:val="24"/>
        </w:rPr>
      </w:pPr>
      <w:bookmarkStart w:id="71" w:name="_Toc527363031"/>
      <w:bookmarkStart w:id="72" w:name="_Toc527362327"/>
      <w:r>
        <w:rPr>
          <w:rFonts w:eastAsiaTheme="minorEastAsia"/>
          <w:sz w:val="24"/>
        </w:rPr>
        <w:t>（2）生物多样性与生物量评价</w:t>
      </w:r>
      <w:bookmarkEnd w:id="71"/>
      <w:bookmarkEnd w:id="72"/>
    </w:p>
    <w:p>
      <w:pPr>
        <w:pStyle w:val="11"/>
        <w:spacing w:line="360" w:lineRule="auto"/>
        <w:ind w:firstLine="480" w:firstLineChars="200"/>
        <w:rPr>
          <w:rFonts w:eastAsiaTheme="minorEastAsia"/>
          <w:sz w:val="24"/>
        </w:rPr>
      </w:pPr>
      <w:r>
        <w:rPr>
          <w:rFonts w:eastAsiaTheme="minorEastAsia"/>
          <w:sz w:val="24"/>
        </w:rPr>
        <w:t>施工期，工程占地范围内的少量草本植物被去除，这部分破坏的植被分布范围集中，导致占地范围内的植被覆盖率、植物物种量和生物量短时期内大幅降低，占评价区现有总生物量的3.13%。</w:t>
      </w:r>
    </w:p>
    <w:p>
      <w:pPr>
        <w:pStyle w:val="11"/>
        <w:spacing w:line="360" w:lineRule="auto"/>
        <w:ind w:firstLine="480" w:firstLineChars="200"/>
        <w:rPr>
          <w:rFonts w:eastAsiaTheme="minorEastAsia"/>
          <w:sz w:val="24"/>
        </w:rPr>
      </w:pPr>
      <w:r>
        <w:rPr>
          <w:rFonts w:eastAsiaTheme="minorEastAsia"/>
          <w:sz w:val="24"/>
        </w:rPr>
        <w:t>运营期，由于新引进绿化品种，以及评价区原有的物种并未消失，因此运营期评价区的物种量较施工前有所增加。</w:t>
      </w:r>
      <w:bookmarkStart w:id="73" w:name="_Toc527363032"/>
      <w:bookmarkStart w:id="74" w:name="_Toc527362328"/>
    </w:p>
    <w:p>
      <w:pPr>
        <w:pStyle w:val="11"/>
        <w:spacing w:line="360" w:lineRule="auto"/>
        <w:ind w:firstLine="480" w:firstLineChars="200"/>
        <w:rPr>
          <w:rFonts w:eastAsiaTheme="minorEastAsia"/>
          <w:sz w:val="24"/>
        </w:rPr>
      </w:pPr>
      <w:r>
        <w:rPr>
          <w:rFonts w:eastAsiaTheme="minorEastAsia"/>
          <w:sz w:val="24"/>
        </w:rPr>
        <w:t>（3）水土流失评价</w:t>
      </w:r>
      <w:bookmarkEnd w:id="73"/>
      <w:bookmarkEnd w:id="74"/>
    </w:p>
    <w:p>
      <w:pPr>
        <w:pStyle w:val="11"/>
        <w:spacing w:line="360" w:lineRule="auto"/>
        <w:ind w:firstLine="480" w:firstLineChars="200"/>
        <w:rPr>
          <w:rFonts w:eastAsiaTheme="minorEastAsia"/>
          <w:sz w:val="24"/>
        </w:rPr>
      </w:pPr>
      <w:bookmarkStart w:id="75" w:name="_Toc527362329"/>
      <w:bookmarkStart w:id="76" w:name="_Toc527363033"/>
      <w:r>
        <w:rPr>
          <w:rFonts w:eastAsiaTheme="minorEastAsia"/>
          <w:sz w:val="24"/>
        </w:rPr>
        <w:t>建设期工程扰动地表面积为</w:t>
      </w:r>
      <w:r>
        <w:rPr>
          <w:rFonts w:hint="eastAsia" w:eastAsiaTheme="minorEastAsia"/>
          <w:sz w:val="24"/>
        </w:rPr>
        <w:t>12900</w:t>
      </w:r>
      <w:r>
        <w:rPr>
          <w:rFonts w:eastAsiaTheme="minorEastAsia"/>
          <w:sz w:val="24"/>
        </w:rPr>
        <w:t>m</w:t>
      </w:r>
      <w:r>
        <w:rPr>
          <w:rFonts w:eastAsiaTheme="minorEastAsia"/>
          <w:sz w:val="24"/>
          <w:vertAlign w:val="superscript"/>
        </w:rPr>
        <w:t>2</w:t>
      </w:r>
      <w:r>
        <w:rPr>
          <w:rFonts w:hint="eastAsia" w:eastAsiaTheme="minorEastAsia"/>
          <w:sz w:val="24"/>
        </w:rPr>
        <w:t>，</w:t>
      </w:r>
      <w:r>
        <w:rPr>
          <w:rFonts w:eastAsiaTheme="minorEastAsia"/>
          <w:sz w:val="24"/>
        </w:rPr>
        <w:t>本项目建设损坏水土保持设施为建设用地。</w:t>
      </w:r>
    </w:p>
    <w:p>
      <w:pPr>
        <w:pStyle w:val="11"/>
        <w:spacing w:line="360" w:lineRule="auto"/>
        <w:ind w:firstLine="480" w:firstLineChars="200"/>
        <w:rPr>
          <w:rFonts w:eastAsiaTheme="minorEastAsia"/>
          <w:sz w:val="24"/>
        </w:rPr>
      </w:pPr>
      <w:r>
        <w:rPr>
          <w:rFonts w:eastAsiaTheme="minorEastAsia"/>
          <w:sz w:val="24"/>
        </w:rPr>
        <w:t>（4）景观评价</w:t>
      </w:r>
      <w:bookmarkEnd w:id="75"/>
      <w:bookmarkEnd w:id="76"/>
    </w:p>
    <w:p>
      <w:pPr>
        <w:pStyle w:val="11"/>
        <w:spacing w:line="360" w:lineRule="auto"/>
        <w:ind w:firstLine="480" w:firstLineChars="200"/>
        <w:rPr>
          <w:rFonts w:eastAsiaTheme="minorEastAsia"/>
          <w:sz w:val="24"/>
        </w:rPr>
      </w:pPr>
      <w:r>
        <w:rPr>
          <w:rFonts w:eastAsiaTheme="minorEastAsia"/>
          <w:sz w:val="24"/>
        </w:rPr>
        <w:t>施工期，本项目所在场址为建设用地，目前有少量草本植物，本工程建设不会对景观性质发生改变，景观异质性无变化。</w:t>
      </w:r>
    </w:p>
    <w:p>
      <w:pPr>
        <w:pStyle w:val="11"/>
        <w:spacing w:line="360" w:lineRule="auto"/>
        <w:ind w:firstLine="480" w:firstLineChars="200"/>
        <w:rPr>
          <w:rFonts w:eastAsiaTheme="minorEastAsia"/>
          <w:sz w:val="24"/>
        </w:rPr>
      </w:pPr>
      <w:r>
        <w:rPr>
          <w:rFonts w:eastAsiaTheme="minorEastAsia"/>
          <w:sz w:val="24"/>
        </w:rPr>
        <w:t>运营期，由于临时占地均已得到生态恢复，将使本工程沿线生态系统的破坏程度得以缓解，但从生态完整性指标的角度分析，由于管线工程永久占地属于建设用地，因此管线工程建设不会对沿线生态完整性产生明显影响。</w:t>
      </w:r>
    </w:p>
    <w:p>
      <w:pPr>
        <w:pStyle w:val="11"/>
        <w:spacing w:line="360" w:lineRule="auto"/>
        <w:ind w:firstLine="480" w:firstLineChars="200"/>
        <w:rPr>
          <w:rFonts w:eastAsiaTheme="minorEastAsia"/>
          <w:sz w:val="24"/>
        </w:rPr>
      </w:pPr>
      <w:bookmarkStart w:id="77" w:name="_Toc527362330"/>
      <w:bookmarkStart w:id="78" w:name="_Toc527363034"/>
      <w:r>
        <w:rPr>
          <w:rFonts w:eastAsiaTheme="minorEastAsia"/>
          <w:sz w:val="24"/>
        </w:rPr>
        <w:t>（5）农业影响评价</w:t>
      </w:r>
      <w:bookmarkEnd w:id="77"/>
      <w:bookmarkEnd w:id="78"/>
    </w:p>
    <w:p>
      <w:pPr>
        <w:pStyle w:val="11"/>
        <w:spacing w:line="360" w:lineRule="auto"/>
        <w:ind w:firstLine="480" w:firstLineChars="200"/>
        <w:rPr>
          <w:rFonts w:eastAsiaTheme="minorEastAsia"/>
          <w:sz w:val="24"/>
        </w:rPr>
      </w:pPr>
      <w:r>
        <w:rPr>
          <w:rFonts w:eastAsiaTheme="minorEastAsia"/>
          <w:sz w:val="24"/>
        </w:rPr>
        <w:t>项目沿线只有少量草本植物</w:t>
      </w:r>
      <w:r>
        <w:rPr>
          <w:rFonts w:hint="eastAsia" w:eastAsiaTheme="minorEastAsia"/>
          <w:sz w:val="24"/>
        </w:rPr>
        <w:t>及木本植物</w:t>
      </w:r>
      <w:r>
        <w:rPr>
          <w:rFonts w:eastAsiaTheme="minorEastAsia"/>
          <w:sz w:val="24"/>
        </w:rPr>
        <w:t>，施工期结束后仍保持原有的植被覆盖率。该项目占地对沿线农业经济影响很小。因此，项目建设会对当地的农业经济造成损失很小。它既不会改变</w:t>
      </w:r>
      <w:r>
        <w:rPr>
          <w:rFonts w:hint="eastAsia" w:eastAsiaTheme="minorEastAsia"/>
          <w:sz w:val="24"/>
        </w:rPr>
        <w:t>潍城区</w:t>
      </w:r>
      <w:r>
        <w:rPr>
          <w:rFonts w:eastAsiaTheme="minorEastAsia"/>
          <w:sz w:val="24"/>
        </w:rPr>
        <w:t>的土地利用现状格局，也不会改变</w:t>
      </w:r>
      <w:r>
        <w:rPr>
          <w:rFonts w:hint="eastAsia" w:eastAsiaTheme="minorEastAsia"/>
          <w:sz w:val="24"/>
        </w:rPr>
        <w:t>潍城区</w:t>
      </w:r>
      <w:r>
        <w:rPr>
          <w:rFonts w:eastAsiaTheme="minorEastAsia"/>
          <w:sz w:val="24"/>
        </w:rPr>
        <w:t>农业经济在整个国民经济构成中的比例和地位。</w:t>
      </w:r>
    </w:p>
    <w:p>
      <w:pPr>
        <w:ind w:firstLine="480"/>
      </w:pPr>
      <w:bookmarkStart w:id="79" w:name="_Toc18326"/>
      <w:bookmarkStart w:id="80" w:name="_Toc525633689"/>
      <w:bookmarkStart w:id="81" w:name="_Toc527362331"/>
      <w:bookmarkStart w:id="82" w:name="_Toc17026"/>
      <w:bookmarkStart w:id="83" w:name="_Toc13743"/>
      <w:bookmarkStart w:id="84" w:name="_Toc23116"/>
      <w:bookmarkStart w:id="85" w:name="_Toc3888"/>
      <w:bookmarkStart w:id="86" w:name="_Toc17105"/>
      <w:bookmarkStart w:id="87" w:name="_Toc13126"/>
      <w:bookmarkStart w:id="88" w:name="_Toc20381"/>
      <w:r>
        <w:rPr>
          <w:rFonts w:hint="eastAsia"/>
        </w:rPr>
        <w:t>2、大气环境影响分析</w:t>
      </w:r>
      <w:bookmarkEnd w:id="79"/>
      <w:bookmarkEnd w:id="80"/>
      <w:bookmarkEnd w:id="81"/>
      <w:bookmarkEnd w:id="82"/>
      <w:bookmarkEnd w:id="83"/>
      <w:bookmarkEnd w:id="84"/>
      <w:bookmarkEnd w:id="85"/>
      <w:bookmarkEnd w:id="86"/>
      <w:bookmarkEnd w:id="87"/>
      <w:bookmarkEnd w:id="88"/>
    </w:p>
    <w:p>
      <w:pPr>
        <w:pStyle w:val="11"/>
        <w:spacing w:line="360" w:lineRule="auto"/>
        <w:ind w:firstLine="480" w:firstLineChars="200"/>
        <w:rPr>
          <w:rFonts w:eastAsiaTheme="minorEastAsia"/>
          <w:sz w:val="24"/>
        </w:rPr>
      </w:pPr>
      <w:r>
        <w:rPr>
          <w:rFonts w:eastAsiaTheme="minorEastAsia"/>
          <w:sz w:val="24"/>
        </w:rPr>
        <w:t>（1）车辆在行驶过程中会产生较大的扬尘，通过每天洒水4~5次进行抑尘，可有效地控制施工扬尘，可将TSP的污染距离缩小到20~50m 范围。</w:t>
      </w:r>
    </w:p>
    <w:p>
      <w:pPr>
        <w:pStyle w:val="11"/>
        <w:spacing w:line="360" w:lineRule="auto"/>
        <w:ind w:firstLine="480" w:firstLineChars="200"/>
        <w:rPr>
          <w:rFonts w:eastAsiaTheme="minorEastAsia"/>
          <w:sz w:val="24"/>
        </w:rPr>
      </w:pPr>
      <w:r>
        <w:rPr>
          <w:rFonts w:eastAsiaTheme="minorEastAsia"/>
          <w:sz w:val="24"/>
        </w:rPr>
        <w:t>（2）管道的地面开挖、填埋、土石方堆放过程为分段进行，施工时间较短，作业带内产生的扬尘为无组织面源排放，采取合理化管理、作业面和土堆适当喷水、土堆和建筑材料遮盖、大风天停止作业等措施时，管道施工扬尘对周围保护目标的影响会大为降低。</w:t>
      </w:r>
    </w:p>
    <w:p>
      <w:pPr>
        <w:pStyle w:val="11"/>
        <w:spacing w:line="360" w:lineRule="auto"/>
        <w:ind w:firstLine="480" w:firstLineChars="200"/>
        <w:rPr>
          <w:rFonts w:eastAsiaTheme="minorEastAsia"/>
          <w:sz w:val="24"/>
        </w:rPr>
      </w:pPr>
      <w:r>
        <w:rPr>
          <w:rFonts w:eastAsiaTheme="minorEastAsia"/>
          <w:sz w:val="24"/>
        </w:rPr>
        <w:t>（3）施工机械废气量较小，且施工现场均在野外，有利于空气的扩散，同时废气污染源具有间歇性和流动性，因此对局部地区的环境影响较小。</w:t>
      </w:r>
    </w:p>
    <w:p>
      <w:pPr>
        <w:pStyle w:val="11"/>
        <w:spacing w:line="360" w:lineRule="auto"/>
        <w:ind w:firstLine="480" w:firstLineChars="200"/>
        <w:rPr>
          <w:rFonts w:eastAsiaTheme="minorEastAsia"/>
          <w:sz w:val="24"/>
        </w:rPr>
      </w:pPr>
      <w:r>
        <w:rPr>
          <w:rFonts w:eastAsiaTheme="minorEastAsia"/>
          <w:sz w:val="24"/>
        </w:rPr>
        <w:t>（4）项目为管道工程，正常工况下，管道运营时对周围大气环境无任何影响；仅在发生泄漏事故的状态下会对大气环境造成污染影响。</w:t>
      </w:r>
    </w:p>
    <w:p>
      <w:pPr>
        <w:ind w:firstLine="480"/>
      </w:pPr>
      <w:bookmarkStart w:id="89" w:name="_Toc13110"/>
      <w:bookmarkStart w:id="90" w:name="_Toc21705"/>
      <w:bookmarkStart w:id="91" w:name="_Toc527362332"/>
      <w:bookmarkStart w:id="92" w:name="_Toc525633690"/>
      <w:bookmarkStart w:id="93" w:name="_Toc14840"/>
      <w:bookmarkStart w:id="94" w:name="_Toc12466"/>
      <w:bookmarkStart w:id="95" w:name="_Toc14152"/>
      <w:bookmarkStart w:id="96" w:name="_Toc3899"/>
      <w:bookmarkStart w:id="97" w:name="_Toc18448"/>
      <w:bookmarkStart w:id="98" w:name="_Toc12245"/>
      <w:r>
        <w:rPr>
          <w:rFonts w:hint="eastAsia"/>
        </w:rPr>
        <w:t>3、地表水环境影响分析</w:t>
      </w:r>
      <w:bookmarkEnd w:id="89"/>
      <w:bookmarkEnd w:id="90"/>
      <w:bookmarkEnd w:id="91"/>
      <w:bookmarkEnd w:id="92"/>
      <w:bookmarkEnd w:id="93"/>
      <w:bookmarkEnd w:id="94"/>
      <w:bookmarkEnd w:id="95"/>
      <w:bookmarkEnd w:id="96"/>
      <w:bookmarkEnd w:id="97"/>
      <w:bookmarkEnd w:id="98"/>
    </w:p>
    <w:p>
      <w:pPr>
        <w:pStyle w:val="11"/>
        <w:spacing w:line="360" w:lineRule="auto"/>
        <w:ind w:firstLine="480" w:firstLineChars="200"/>
        <w:rPr>
          <w:rFonts w:eastAsiaTheme="minorEastAsia"/>
          <w:sz w:val="24"/>
        </w:rPr>
      </w:pPr>
      <w:r>
        <w:rPr>
          <w:rFonts w:eastAsiaTheme="minorEastAsia"/>
          <w:sz w:val="24"/>
        </w:rPr>
        <w:t>（1）管道施工生活污水处理可依托当地水处理设施进行处理，对沿线水环境无影响。</w:t>
      </w:r>
    </w:p>
    <w:p>
      <w:pPr>
        <w:pStyle w:val="11"/>
        <w:spacing w:line="360" w:lineRule="auto"/>
        <w:ind w:firstLine="480" w:firstLineChars="200"/>
        <w:rPr>
          <w:rFonts w:eastAsiaTheme="minorEastAsia"/>
          <w:sz w:val="24"/>
        </w:rPr>
      </w:pPr>
      <w:r>
        <w:rPr>
          <w:rFonts w:eastAsiaTheme="minorEastAsia"/>
          <w:sz w:val="24"/>
        </w:rPr>
        <w:t>（2）试压废水中主要污染物为悬浮物，经滤布过滤后作为周围的农田灌溉或林业绿化等用水，确实不能回用的可考虑进行洒水抑尘，地表水不外排。</w:t>
      </w:r>
    </w:p>
    <w:p>
      <w:pPr>
        <w:ind w:firstLine="480"/>
      </w:pPr>
      <w:bookmarkStart w:id="99" w:name="_Toc8277"/>
      <w:bookmarkStart w:id="100" w:name="_Toc22036"/>
      <w:bookmarkStart w:id="101" w:name="_Toc11986"/>
      <w:bookmarkStart w:id="102" w:name="_Toc8457"/>
      <w:bookmarkStart w:id="103" w:name="_Toc527362333"/>
      <w:bookmarkStart w:id="104" w:name="_Toc1608"/>
      <w:bookmarkStart w:id="105" w:name="_Toc16997"/>
      <w:bookmarkStart w:id="106" w:name="_Toc13063"/>
      <w:bookmarkStart w:id="107" w:name="_Toc1330"/>
      <w:bookmarkStart w:id="108" w:name="_Toc525633691"/>
      <w:r>
        <w:rPr>
          <w:rFonts w:hint="eastAsia"/>
        </w:rPr>
        <w:t>4、地下水环境影响分析</w:t>
      </w:r>
      <w:bookmarkEnd w:id="99"/>
      <w:bookmarkEnd w:id="100"/>
      <w:bookmarkEnd w:id="101"/>
      <w:bookmarkEnd w:id="102"/>
      <w:bookmarkEnd w:id="103"/>
      <w:bookmarkEnd w:id="104"/>
      <w:bookmarkEnd w:id="105"/>
      <w:bookmarkEnd w:id="106"/>
      <w:bookmarkEnd w:id="107"/>
      <w:bookmarkEnd w:id="108"/>
    </w:p>
    <w:p>
      <w:pPr>
        <w:pStyle w:val="11"/>
        <w:spacing w:line="360" w:lineRule="auto"/>
        <w:ind w:firstLine="480" w:firstLineChars="200"/>
        <w:rPr>
          <w:rFonts w:eastAsiaTheme="minorEastAsia"/>
          <w:sz w:val="24"/>
        </w:rPr>
      </w:pPr>
      <w:r>
        <w:rPr>
          <w:rFonts w:eastAsiaTheme="minorEastAsia"/>
          <w:sz w:val="24"/>
        </w:rPr>
        <w:t>（1）施工期内对地下水质的影响主要是生活污水、施工过程的辅料、废料和生产废水。施工过程中不设置营地，排量污水较少。同时生活污水和生活垃圾等利用专门处理设施进行处理，对地下水环境的影响很小。</w:t>
      </w:r>
    </w:p>
    <w:p>
      <w:pPr>
        <w:pStyle w:val="11"/>
        <w:spacing w:line="360" w:lineRule="auto"/>
        <w:ind w:firstLine="480" w:firstLineChars="200"/>
        <w:rPr>
          <w:rFonts w:eastAsiaTheme="minorEastAsia"/>
          <w:sz w:val="24"/>
        </w:rPr>
      </w:pPr>
      <w:r>
        <w:rPr>
          <w:rFonts w:eastAsiaTheme="minorEastAsia"/>
          <w:sz w:val="24"/>
        </w:rPr>
        <w:t>（2）</w:t>
      </w:r>
      <w:r>
        <w:rPr>
          <w:rFonts w:hint="eastAsia" w:eastAsiaTheme="minorEastAsia"/>
          <w:sz w:val="24"/>
        </w:rPr>
        <w:t>天然气</w:t>
      </w:r>
      <w:r>
        <w:rPr>
          <w:rFonts w:eastAsiaTheme="minorEastAsia"/>
          <w:sz w:val="24"/>
        </w:rPr>
        <w:t>管道采用密闭方式输送，正常情况下对地下水几乎无不良影响。</w:t>
      </w:r>
      <w:r>
        <w:rPr>
          <w:rFonts w:hint="eastAsia" w:eastAsiaTheme="minorEastAsia"/>
          <w:sz w:val="24"/>
        </w:rPr>
        <w:t>天然气</w:t>
      </w:r>
      <w:r>
        <w:rPr>
          <w:rFonts w:eastAsiaTheme="minorEastAsia"/>
          <w:sz w:val="24"/>
        </w:rPr>
        <w:t>管道敷设在地表以下约1</w:t>
      </w:r>
      <w:r>
        <w:rPr>
          <w:rFonts w:hint="eastAsia" w:eastAsiaTheme="minorEastAsia"/>
          <w:sz w:val="24"/>
        </w:rPr>
        <w:t>.5</w:t>
      </w:r>
      <w:r>
        <w:rPr>
          <w:rFonts w:eastAsiaTheme="minorEastAsia"/>
          <w:sz w:val="24"/>
        </w:rPr>
        <w:t>m，由于管道压力较大，而顶层覆土层压力较小，一旦发生事故时，</w:t>
      </w:r>
      <w:r>
        <w:rPr>
          <w:rFonts w:hint="eastAsia" w:eastAsiaTheme="minorEastAsia"/>
          <w:sz w:val="24"/>
        </w:rPr>
        <w:t>天然气</w:t>
      </w:r>
      <w:r>
        <w:rPr>
          <w:rFonts w:eastAsiaTheme="minorEastAsia"/>
          <w:sz w:val="24"/>
        </w:rPr>
        <w:t>会向上喷出地表。如果无人工立即回收，则其一部分轻组分会挥发，另一部分</w:t>
      </w:r>
      <w:r>
        <w:rPr>
          <w:rFonts w:hint="eastAsia" w:eastAsiaTheme="minorEastAsia"/>
          <w:sz w:val="24"/>
        </w:rPr>
        <w:t>进入土壤孔隙</w:t>
      </w:r>
      <w:r>
        <w:rPr>
          <w:rFonts w:eastAsiaTheme="minorEastAsia"/>
          <w:sz w:val="24"/>
        </w:rPr>
        <w:t>，甚至到达浅水层。</w:t>
      </w:r>
    </w:p>
    <w:p>
      <w:pPr>
        <w:ind w:firstLine="480"/>
      </w:pPr>
      <w:bookmarkStart w:id="109" w:name="_Toc24277"/>
      <w:bookmarkStart w:id="110" w:name="_Toc25199"/>
      <w:bookmarkStart w:id="111" w:name="_Toc5795"/>
      <w:bookmarkStart w:id="112" w:name="_Toc29866"/>
      <w:bookmarkStart w:id="113" w:name="_Toc20358"/>
      <w:bookmarkStart w:id="114" w:name="_Toc7342"/>
      <w:bookmarkStart w:id="115" w:name="_Toc525633692"/>
      <w:bookmarkStart w:id="116" w:name="_Toc527362334"/>
      <w:bookmarkStart w:id="117" w:name="_Toc31230"/>
      <w:bookmarkStart w:id="118" w:name="_Toc32701"/>
      <w:r>
        <w:rPr>
          <w:rFonts w:hint="eastAsia"/>
        </w:rPr>
        <w:t>5、声环境影响分析</w:t>
      </w:r>
      <w:bookmarkEnd w:id="109"/>
      <w:bookmarkEnd w:id="110"/>
      <w:bookmarkEnd w:id="111"/>
      <w:bookmarkEnd w:id="112"/>
      <w:bookmarkEnd w:id="113"/>
      <w:bookmarkEnd w:id="114"/>
      <w:bookmarkEnd w:id="115"/>
      <w:bookmarkEnd w:id="116"/>
      <w:bookmarkEnd w:id="117"/>
      <w:bookmarkEnd w:id="118"/>
    </w:p>
    <w:p>
      <w:pPr>
        <w:pStyle w:val="11"/>
        <w:spacing w:line="360" w:lineRule="auto"/>
        <w:ind w:firstLine="480" w:firstLineChars="200"/>
        <w:rPr>
          <w:rFonts w:eastAsiaTheme="minorEastAsia"/>
          <w:sz w:val="24"/>
        </w:rPr>
      </w:pPr>
      <w:r>
        <w:rPr>
          <w:rFonts w:eastAsiaTheme="minorEastAsia"/>
          <w:sz w:val="24"/>
        </w:rPr>
        <w:t>管线沿线两侧200m范围内，噪声敏感点主</w:t>
      </w:r>
      <w:r>
        <w:rPr>
          <w:rFonts w:hint="eastAsia" w:eastAsiaTheme="minorEastAsia"/>
          <w:sz w:val="24"/>
        </w:rPr>
        <w:t>要为韩家村</w:t>
      </w:r>
      <w:r>
        <w:rPr>
          <w:rFonts w:eastAsiaTheme="minorEastAsia"/>
          <w:sz w:val="24"/>
        </w:rPr>
        <w:t>。严格落实本次评价提出的环保措施的前提下，各环境敏感点处噪声值不会超过标准限值。施工噪声是短暂的且具有分散性，一般在白天施工，不会对夜间声环境产生影响。因此，一般管线施工噪声不会对周围居民的生活造成影响。</w:t>
      </w:r>
    </w:p>
    <w:p>
      <w:pPr>
        <w:ind w:firstLine="480"/>
      </w:pPr>
      <w:bookmarkStart w:id="119" w:name="_Toc17752"/>
      <w:bookmarkStart w:id="120" w:name="_Toc26461"/>
      <w:bookmarkStart w:id="121" w:name="_Toc29458"/>
      <w:bookmarkStart w:id="122" w:name="_Toc31610"/>
      <w:bookmarkStart w:id="123" w:name="_Toc525633693"/>
      <w:bookmarkStart w:id="124" w:name="_Toc527362335"/>
      <w:bookmarkStart w:id="125" w:name="_Toc27200"/>
      <w:bookmarkStart w:id="126" w:name="_Toc26825"/>
      <w:bookmarkStart w:id="127" w:name="_Toc31080"/>
      <w:bookmarkStart w:id="128" w:name="_Toc22003"/>
      <w:r>
        <w:rPr>
          <w:rFonts w:hint="eastAsia"/>
        </w:rPr>
        <w:t>6、固体废物环境影响分析</w:t>
      </w:r>
      <w:bookmarkEnd w:id="119"/>
      <w:bookmarkEnd w:id="120"/>
      <w:bookmarkEnd w:id="121"/>
      <w:bookmarkEnd w:id="122"/>
      <w:bookmarkEnd w:id="123"/>
      <w:bookmarkEnd w:id="124"/>
      <w:bookmarkEnd w:id="125"/>
      <w:bookmarkEnd w:id="126"/>
      <w:bookmarkEnd w:id="127"/>
      <w:bookmarkEnd w:id="128"/>
      <w:r>
        <w:rPr>
          <w:rFonts w:hint="eastAsia"/>
        </w:rPr>
        <w:tab/>
      </w:r>
    </w:p>
    <w:p>
      <w:pPr>
        <w:pStyle w:val="11"/>
        <w:spacing w:line="360" w:lineRule="auto"/>
        <w:ind w:firstLine="480" w:firstLineChars="200"/>
        <w:rPr>
          <w:rFonts w:eastAsiaTheme="minorEastAsia"/>
          <w:sz w:val="24"/>
        </w:rPr>
      </w:pPr>
      <w:r>
        <w:rPr>
          <w:rFonts w:eastAsiaTheme="minorEastAsia"/>
          <w:sz w:val="24"/>
        </w:rPr>
        <w:t>本项目施工生活垃圾主要包括废弃包装、纸屑等，产生量为</w:t>
      </w:r>
      <w:r>
        <w:rPr>
          <w:rFonts w:hint="eastAsia" w:eastAsiaTheme="minorEastAsia"/>
          <w:sz w:val="24"/>
        </w:rPr>
        <w:t>1.875</w:t>
      </w:r>
      <w:r>
        <w:rPr>
          <w:rFonts w:eastAsiaTheme="minorEastAsia"/>
          <w:sz w:val="24"/>
        </w:rPr>
        <w:t>t，统一收集后，依托当地环卫部门处置。本项目产生的土石方主要是管道开挖和回填后产生的剩余弃土石方和废渣。弃土方、弃渣用于管道两侧田埂修整、低凹地平整，对周围环境影响很小。本项目施工过程产生的施工废料量约为0.</w:t>
      </w:r>
      <w:r>
        <w:rPr>
          <w:rFonts w:hint="eastAsia" w:eastAsiaTheme="minorEastAsia"/>
          <w:sz w:val="24"/>
        </w:rPr>
        <w:t>4</w:t>
      </w:r>
      <w:r>
        <w:rPr>
          <w:rFonts w:eastAsiaTheme="minorEastAsia"/>
          <w:sz w:val="24"/>
        </w:rPr>
        <w:t>2t，废料委托当地环卫部门有偿清运</w:t>
      </w:r>
      <w:r>
        <w:rPr>
          <w:rFonts w:hint="eastAsia" w:eastAsiaTheme="minorEastAsia"/>
          <w:sz w:val="24"/>
        </w:rPr>
        <w:t>。项目定向钻泥浆共计230t，暂存于泥浆暂存池，委托有资质的单位处置。</w:t>
      </w:r>
    </w:p>
    <w:p>
      <w:pPr>
        <w:pStyle w:val="11"/>
        <w:spacing w:line="360" w:lineRule="auto"/>
        <w:ind w:firstLine="480" w:firstLineChars="200"/>
        <w:rPr>
          <w:rFonts w:eastAsiaTheme="minorEastAsia"/>
          <w:sz w:val="24"/>
        </w:rPr>
      </w:pPr>
      <w:r>
        <w:rPr>
          <w:rFonts w:eastAsiaTheme="minorEastAsia"/>
          <w:sz w:val="24"/>
        </w:rPr>
        <w:t>各种固废均得到妥善处置，不会对周围的环境有所影响。</w:t>
      </w:r>
    </w:p>
    <w:p>
      <w:pPr>
        <w:ind w:firstLine="480"/>
      </w:pPr>
      <w:bookmarkStart w:id="129" w:name="_Toc11659"/>
      <w:bookmarkStart w:id="130" w:name="_Toc527362345"/>
      <w:bookmarkStart w:id="131" w:name="_Toc8595"/>
      <w:bookmarkStart w:id="132" w:name="_Toc24673"/>
      <w:bookmarkStart w:id="133" w:name="_Toc525633701"/>
      <w:bookmarkStart w:id="134" w:name="_Toc24402"/>
      <w:bookmarkStart w:id="135" w:name="_Toc3800"/>
      <w:bookmarkStart w:id="136" w:name="_Toc527363036"/>
      <w:bookmarkStart w:id="137" w:name="_Toc32425"/>
      <w:bookmarkStart w:id="138" w:name="_Toc14201"/>
      <w:bookmarkStart w:id="139" w:name="_Toc8027"/>
      <w:bookmarkStart w:id="140" w:name="_Toc21082"/>
      <w:bookmarkStart w:id="141" w:name="_Toc23083"/>
      <w:bookmarkStart w:id="142" w:name="_Toc527362336"/>
      <w:bookmarkStart w:id="143" w:name="_Toc11078"/>
      <w:bookmarkStart w:id="144" w:name="_Toc31916"/>
      <w:bookmarkStart w:id="145" w:name="_Toc25488"/>
      <w:bookmarkStart w:id="146" w:name="_Toc527363035"/>
      <w:bookmarkStart w:id="147" w:name="_Toc525633694"/>
      <w:bookmarkStart w:id="148" w:name="_Toc3893"/>
      <w:r>
        <w:rPr>
          <w:rFonts w:hint="eastAsia"/>
        </w:rPr>
        <w:t>7、环境风险评价</w:t>
      </w:r>
      <w:bookmarkEnd w:id="129"/>
      <w:bookmarkEnd w:id="130"/>
      <w:bookmarkEnd w:id="131"/>
      <w:bookmarkEnd w:id="132"/>
      <w:bookmarkEnd w:id="133"/>
      <w:bookmarkEnd w:id="134"/>
      <w:bookmarkEnd w:id="135"/>
      <w:bookmarkEnd w:id="136"/>
      <w:bookmarkEnd w:id="137"/>
      <w:bookmarkEnd w:id="138"/>
    </w:p>
    <w:p>
      <w:pPr>
        <w:pStyle w:val="11"/>
        <w:spacing w:line="360" w:lineRule="auto"/>
        <w:ind w:firstLine="480" w:firstLineChars="200"/>
        <w:rPr>
          <w:rFonts w:eastAsiaTheme="minorEastAsia"/>
          <w:sz w:val="24"/>
        </w:rPr>
      </w:pPr>
      <w:r>
        <w:rPr>
          <w:rFonts w:eastAsiaTheme="minorEastAsia"/>
          <w:sz w:val="24"/>
        </w:rPr>
        <w:t>（1）通过对本项目风险识别和源项分析，工程风险物质为</w:t>
      </w:r>
      <w:r>
        <w:rPr>
          <w:rFonts w:hint="eastAsia" w:eastAsiaTheme="minorEastAsia"/>
          <w:sz w:val="24"/>
        </w:rPr>
        <w:t>天然气</w:t>
      </w:r>
      <w:r>
        <w:rPr>
          <w:rFonts w:eastAsiaTheme="minorEastAsia"/>
          <w:sz w:val="24"/>
        </w:rPr>
        <w:t>，管段断裂泄漏事故为最大可信事故，分析</w:t>
      </w:r>
      <w:r>
        <w:rPr>
          <w:rFonts w:hint="eastAsia" w:eastAsiaTheme="minorEastAsia"/>
          <w:sz w:val="24"/>
        </w:rPr>
        <w:t>天然气</w:t>
      </w:r>
      <w:r>
        <w:rPr>
          <w:rFonts w:eastAsiaTheme="minorEastAsia"/>
          <w:sz w:val="24"/>
        </w:rPr>
        <w:t>泄漏后在空气中可能引起燃烧、爆炸，以及由此伴生的空气污染、地表水污染、地下水污染及生态破坏。</w:t>
      </w:r>
    </w:p>
    <w:p>
      <w:pPr>
        <w:pStyle w:val="11"/>
        <w:spacing w:line="360" w:lineRule="auto"/>
        <w:ind w:firstLine="480" w:firstLineChars="200"/>
        <w:rPr>
          <w:rFonts w:eastAsiaTheme="minorEastAsia"/>
          <w:sz w:val="24"/>
        </w:rPr>
      </w:pPr>
      <w:r>
        <w:rPr>
          <w:rFonts w:eastAsiaTheme="minorEastAsia"/>
          <w:sz w:val="24"/>
        </w:rPr>
        <w:t>（2）</w:t>
      </w:r>
      <w:r>
        <w:rPr>
          <w:rFonts w:hint="eastAsia" w:eastAsiaTheme="minorEastAsia"/>
          <w:sz w:val="24"/>
        </w:rPr>
        <w:t>甲烷</w:t>
      </w:r>
      <w:r>
        <w:rPr>
          <w:rFonts w:eastAsiaTheme="minorEastAsia"/>
          <w:sz w:val="24"/>
        </w:rPr>
        <w:t>临界量为</w:t>
      </w:r>
      <w:r>
        <w:rPr>
          <w:rFonts w:hint="eastAsia" w:eastAsiaTheme="minorEastAsia"/>
          <w:sz w:val="24"/>
        </w:rPr>
        <w:t>10</w:t>
      </w:r>
      <w:r>
        <w:rPr>
          <w:rFonts w:eastAsiaTheme="minorEastAsia"/>
          <w:sz w:val="24"/>
        </w:rPr>
        <w:t>吨。本工程长度</w:t>
      </w:r>
      <w:r>
        <w:rPr>
          <w:rFonts w:hint="eastAsia" w:eastAsiaTheme="minorEastAsia"/>
          <w:sz w:val="24"/>
        </w:rPr>
        <w:t>1.32</w:t>
      </w:r>
      <w:r>
        <w:rPr>
          <w:rFonts w:eastAsiaTheme="minorEastAsia"/>
          <w:sz w:val="24"/>
        </w:rPr>
        <w:t>km，管径</w:t>
      </w:r>
      <w:r>
        <w:rPr>
          <w:rFonts w:eastAsiaTheme="minorEastAsia"/>
          <w:bCs/>
          <w:sz w:val="24"/>
        </w:rPr>
        <w:t>D</w:t>
      </w:r>
      <w:r>
        <w:rPr>
          <w:rFonts w:hint="eastAsia" w:eastAsiaTheme="minorEastAsia"/>
          <w:bCs/>
          <w:sz w:val="24"/>
        </w:rPr>
        <w:t>508</w:t>
      </w:r>
      <w:r>
        <w:rPr>
          <w:rFonts w:eastAsiaTheme="minorEastAsia"/>
          <w:bCs/>
          <w:sz w:val="24"/>
        </w:rPr>
        <w:t>mm，</w:t>
      </w:r>
      <w:r>
        <w:rPr>
          <w:rFonts w:hint="eastAsia" w:eastAsiaTheme="minorEastAsia"/>
          <w:bCs/>
          <w:sz w:val="24"/>
        </w:rPr>
        <w:t>天然气</w:t>
      </w:r>
      <w:r>
        <w:rPr>
          <w:rFonts w:eastAsiaTheme="minorEastAsia"/>
          <w:bCs/>
          <w:sz w:val="24"/>
        </w:rPr>
        <w:t>密度</w:t>
      </w:r>
      <w:r>
        <w:rPr>
          <w:rFonts w:eastAsiaTheme="minorEastAsia"/>
          <w:sz w:val="24"/>
        </w:rPr>
        <w:t>0.</w:t>
      </w:r>
      <w:r>
        <w:rPr>
          <w:rFonts w:hint="eastAsia" w:eastAsiaTheme="minorEastAsia"/>
          <w:sz w:val="24"/>
        </w:rPr>
        <w:t>72k</w:t>
      </w:r>
      <w:r>
        <w:rPr>
          <w:rFonts w:eastAsiaTheme="minorEastAsia"/>
          <w:sz w:val="24"/>
        </w:rPr>
        <w:t>g/m</w:t>
      </w:r>
      <w:r>
        <w:rPr>
          <w:rFonts w:eastAsiaTheme="minorEastAsia"/>
          <w:sz w:val="24"/>
          <w:vertAlign w:val="superscript"/>
        </w:rPr>
        <w:t>3</w:t>
      </w:r>
      <w:r>
        <w:rPr>
          <w:rFonts w:eastAsiaTheme="minorEastAsia"/>
          <w:bCs/>
          <w:sz w:val="24"/>
        </w:rPr>
        <w:t>，所在管线最近两个阀室之间距离为</w:t>
      </w:r>
      <w:r>
        <w:rPr>
          <w:rFonts w:hint="eastAsia" w:eastAsiaTheme="minorEastAsia"/>
          <w:bCs/>
          <w:sz w:val="24"/>
        </w:rPr>
        <w:t>15.97</w:t>
      </w:r>
      <w:r>
        <w:rPr>
          <w:rFonts w:eastAsiaTheme="minorEastAsia"/>
          <w:bCs/>
          <w:sz w:val="24"/>
        </w:rPr>
        <w:t>km，经过计算</w:t>
      </w:r>
      <w:r>
        <w:rPr>
          <w:rFonts w:hint="eastAsia" w:eastAsiaTheme="minorEastAsia"/>
          <w:bCs/>
          <w:sz w:val="24"/>
        </w:rPr>
        <w:t>天然气</w:t>
      </w:r>
      <w:r>
        <w:rPr>
          <w:rFonts w:eastAsiaTheme="minorEastAsia"/>
          <w:bCs/>
          <w:sz w:val="24"/>
        </w:rPr>
        <w:t>在线量最大为</w:t>
      </w:r>
      <w:r>
        <w:rPr>
          <w:rFonts w:hint="eastAsia" w:eastAsiaTheme="minorEastAsia"/>
          <w:bCs/>
          <w:sz w:val="24"/>
        </w:rPr>
        <w:t>2.33</w:t>
      </w:r>
      <w:r>
        <w:rPr>
          <w:rFonts w:eastAsiaTheme="minorEastAsia"/>
          <w:bCs/>
          <w:sz w:val="24"/>
        </w:rPr>
        <w:t>t</w:t>
      </w:r>
      <w:r>
        <w:rPr>
          <w:rFonts w:hint="eastAsia" w:eastAsiaTheme="minorEastAsia"/>
          <w:bCs/>
          <w:sz w:val="24"/>
        </w:rPr>
        <w:t>，设天然气小孔泄漏时间为26min，孔径为10mm，则项目天然气的泄漏量为25362.5kg，即项目天然气的总泄漏量为27.69t</w:t>
      </w:r>
      <w:r>
        <w:rPr>
          <w:rFonts w:eastAsiaTheme="minorEastAsia"/>
          <w:bCs/>
          <w:sz w:val="24"/>
        </w:rPr>
        <w:t>。</w:t>
      </w:r>
      <w:r>
        <w:rPr>
          <w:rFonts w:eastAsiaTheme="minorEastAsia"/>
          <w:sz w:val="24"/>
        </w:rPr>
        <w:t>本项目Q取值范围为</w:t>
      </w:r>
      <w:r>
        <w:rPr>
          <w:rFonts w:hint="eastAsia" w:eastAsiaTheme="minorEastAsia"/>
          <w:sz w:val="24"/>
        </w:rPr>
        <w:t>1</w:t>
      </w:r>
      <w:r>
        <w:rPr>
          <w:rFonts w:eastAsiaTheme="minorEastAsia"/>
          <w:sz w:val="24"/>
        </w:rPr>
        <w:t>＜</w:t>
      </w:r>
      <w:r>
        <w:rPr>
          <w:rFonts w:hint="eastAsia" w:eastAsiaTheme="minorEastAsia"/>
          <w:sz w:val="24"/>
        </w:rPr>
        <w:t>Q</w:t>
      </w:r>
      <w:r>
        <w:rPr>
          <w:rFonts w:eastAsiaTheme="minorEastAsia"/>
          <w:sz w:val="24"/>
        </w:rPr>
        <w:t>＜1</w:t>
      </w:r>
      <w:r>
        <w:rPr>
          <w:rFonts w:hint="eastAsia" w:eastAsiaTheme="minorEastAsia"/>
          <w:sz w:val="24"/>
        </w:rPr>
        <w:t>0</w:t>
      </w:r>
      <w:r>
        <w:rPr>
          <w:rFonts w:eastAsiaTheme="minorEastAsia"/>
          <w:sz w:val="24"/>
        </w:rPr>
        <w:t>。</w:t>
      </w:r>
      <w:r>
        <w:rPr>
          <w:rFonts w:hint="eastAsia" w:eastAsiaTheme="minorEastAsia"/>
          <w:sz w:val="24"/>
        </w:rPr>
        <w:t>本项目</w:t>
      </w:r>
      <w:r>
        <w:rPr>
          <w:rFonts w:eastAsiaTheme="minorEastAsia"/>
          <w:sz w:val="24"/>
        </w:rPr>
        <w:t>大气环境</w:t>
      </w:r>
      <w:r>
        <w:rPr>
          <w:rFonts w:hint="eastAsia" w:eastAsiaTheme="minorEastAsia"/>
          <w:sz w:val="24"/>
        </w:rPr>
        <w:t>为二级评价，</w:t>
      </w:r>
      <w:r>
        <w:rPr>
          <w:rFonts w:eastAsiaTheme="minorEastAsia"/>
          <w:sz w:val="24"/>
        </w:rPr>
        <w:t>地表水环境、地下水环境风险评价</w:t>
      </w:r>
      <w:r>
        <w:rPr>
          <w:rFonts w:hint="eastAsia" w:eastAsiaTheme="minorEastAsia"/>
          <w:sz w:val="24"/>
        </w:rPr>
        <w:t>均</w:t>
      </w:r>
      <w:r>
        <w:rPr>
          <w:rFonts w:eastAsiaTheme="minorEastAsia"/>
          <w:sz w:val="24"/>
        </w:rPr>
        <w:t>为</w:t>
      </w:r>
      <w:r>
        <w:rPr>
          <w:rFonts w:hint="eastAsia" w:eastAsiaTheme="minorEastAsia"/>
          <w:sz w:val="24"/>
        </w:rPr>
        <w:t>简单分析。</w:t>
      </w:r>
      <w:r>
        <w:rPr>
          <w:rFonts w:eastAsiaTheme="minorEastAsia"/>
          <w:sz w:val="24"/>
        </w:rPr>
        <w:t>本项目危险物质一旦泄漏，对大气将产生有机物的污染，对地表水、地下水及土壤将产生石油类污染物的污染，遇明火发生火灾、爆炸时还会对大气产生SO</w:t>
      </w:r>
      <w:r>
        <w:rPr>
          <w:rFonts w:eastAsiaTheme="minorEastAsia"/>
          <w:sz w:val="24"/>
          <w:vertAlign w:val="subscript"/>
        </w:rPr>
        <w:t>2</w:t>
      </w:r>
      <w:r>
        <w:rPr>
          <w:rFonts w:eastAsiaTheme="minorEastAsia"/>
          <w:sz w:val="24"/>
        </w:rPr>
        <w:t>、NOx、CO的排放污染。</w:t>
      </w:r>
    </w:p>
    <w:p>
      <w:pPr>
        <w:pStyle w:val="11"/>
        <w:spacing w:line="360" w:lineRule="auto"/>
        <w:ind w:firstLine="480" w:firstLineChars="200"/>
        <w:rPr>
          <w:rFonts w:eastAsiaTheme="minorEastAsia"/>
          <w:sz w:val="24"/>
        </w:rPr>
      </w:pPr>
      <w:r>
        <w:rPr>
          <w:rFonts w:eastAsiaTheme="minorEastAsia"/>
          <w:sz w:val="24"/>
        </w:rPr>
        <w:t>（3）本工程管道断裂发生火灾爆炸伤亡的风险比较低，操作危险性中等，但仍需要采取风险防范措施，制定相应的事故应急预案，降低风险发生的可能性并将事故造成的损失降至最低。</w:t>
      </w:r>
    </w:p>
    <w:p>
      <w:pPr>
        <w:pStyle w:val="11"/>
        <w:spacing w:line="360" w:lineRule="auto"/>
        <w:ind w:firstLine="480" w:firstLineChars="200"/>
        <w:rPr>
          <w:rFonts w:eastAsiaTheme="minorEastAsia"/>
          <w:sz w:val="24"/>
        </w:rPr>
      </w:pPr>
      <w:r>
        <w:rPr>
          <w:rFonts w:eastAsiaTheme="minorEastAsia"/>
          <w:sz w:val="24"/>
        </w:rPr>
        <w:t>（4）针对长输管道工程及本项目特点，对设计阶段、施工阶段、运行阶段制定有相应的事故防范措施及管理措施，同时制定了环境风险应急预案。</w:t>
      </w:r>
    </w:p>
    <w:p>
      <w:pPr>
        <w:pStyle w:val="5"/>
        <w:rPr>
          <w:rFonts w:eastAsiaTheme="minorEastAsia"/>
        </w:rPr>
      </w:pPr>
      <w:bookmarkStart w:id="149" w:name="_Toc17386523"/>
      <w:r>
        <w:rPr>
          <w:rFonts w:eastAsiaTheme="minorEastAsia"/>
        </w:rPr>
        <w:t>主要环境保护措施</w:t>
      </w:r>
      <w:bookmarkEnd w:id="139"/>
      <w:bookmarkEnd w:id="140"/>
      <w:bookmarkEnd w:id="141"/>
      <w:bookmarkEnd w:id="142"/>
      <w:bookmarkEnd w:id="143"/>
      <w:bookmarkEnd w:id="144"/>
      <w:bookmarkEnd w:id="145"/>
      <w:bookmarkEnd w:id="146"/>
      <w:bookmarkEnd w:id="147"/>
      <w:bookmarkEnd w:id="148"/>
      <w:bookmarkEnd w:id="149"/>
    </w:p>
    <w:p>
      <w:pPr>
        <w:ind w:firstLine="480"/>
      </w:pPr>
      <w:bookmarkStart w:id="150" w:name="_Toc527362337"/>
      <w:bookmarkStart w:id="151" w:name="_Toc16575"/>
      <w:bookmarkStart w:id="152" w:name="_Toc23249"/>
      <w:bookmarkStart w:id="153" w:name="_Toc525633695"/>
      <w:bookmarkStart w:id="154" w:name="_Toc26571"/>
      <w:bookmarkStart w:id="155" w:name="_Toc18919"/>
      <w:bookmarkStart w:id="156" w:name="_Toc2661"/>
      <w:bookmarkStart w:id="157" w:name="_Toc19877"/>
      <w:bookmarkStart w:id="158" w:name="_Toc15371"/>
      <w:bookmarkStart w:id="159" w:name="_Toc16297"/>
      <w:r>
        <w:rPr>
          <w:rFonts w:hint="eastAsia"/>
        </w:rPr>
        <w:t>1、生态环境保护措施</w:t>
      </w:r>
      <w:bookmarkEnd w:id="150"/>
      <w:bookmarkEnd w:id="151"/>
      <w:bookmarkEnd w:id="152"/>
      <w:bookmarkEnd w:id="153"/>
      <w:bookmarkEnd w:id="154"/>
      <w:bookmarkEnd w:id="155"/>
      <w:bookmarkEnd w:id="156"/>
      <w:bookmarkEnd w:id="157"/>
      <w:bookmarkEnd w:id="158"/>
      <w:bookmarkEnd w:id="159"/>
    </w:p>
    <w:p>
      <w:pPr>
        <w:pStyle w:val="11"/>
        <w:spacing w:line="360" w:lineRule="auto"/>
        <w:ind w:firstLine="480" w:firstLineChars="200"/>
        <w:rPr>
          <w:rFonts w:eastAsiaTheme="minorEastAsia"/>
          <w:sz w:val="24"/>
        </w:rPr>
      </w:pPr>
      <w:r>
        <w:rPr>
          <w:rFonts w:eastAsiaTheme="minorEastAsia"/>
          <w:sz w:val="24"/>
        </w:rPr>
        <w:t>（1）在管道建设施工期，采取尽量少占地、少破坏植被的原则，尽量缩小施工范围，各种施工活动严格控制在施工区域内，并将临时占地面积控制在最低限度，以免造成土壤与植被的不必要破坏，将管道建设对现有植被和土壤的影响控制在最低限度。对于施工过程中破坏的植被，制定补偿措施，进行补偿。对于临时占地，竣工后进行土地复垦和植被重建工作。在开挖地表土壤时，执行分层挖开、分层回填的操作规范。</w:t>
      </w:r>
    </w:p>
    <w:p>
      <w:pPr>
        <w:pStyle w:val="11"/>
        <w:spacing w:line="360" w:lineRule="auto"/>
        <w:ind w:firstLine="480" w:firstLineChars="200"/>
        <w:rPr>
          <w:rFonts w:eastAsiaTheme="minorEastAsia"/>
          <w:sz w:val="24"/>
        </w:rPr>
      </w:pPr>
      <w:r>
        <w:rPr>
          <w:rFonts w:eastAsiaTheme="minorEastAsia"/>
          <w:sz w:val="24"/>
        </w:rPr>
        <w:t>（2）管道穿越工程要规范施工，严格管理，在施工前制定土石方处置方案，限制临时堆放占地面积和远距离转移，用于就近加固堤防、路坝时考虑绿化或硬化。</w:t>
      </w:r>
    </w:p>
    <w:p>
      <w:pPr>
        <w:pStyle w:val="11"/>
        <w:spacing w:line="360" w:lineRule="auto"/>
        <w:ind w:firstLine="480" w:firstLineChars="200"/>
        <w:rPr>
          <w:rFonts w:eastAsiaTheme="minorEastAsia"/>
          <w:sz w:val="24"/>
        </w:rPr>
      </w:pPr>
      <w:r>
        <w:rPr>
          <w:rFonts w:eastAsiaTheme="minorEastAsia"/>
          <w:sz w:val="24"/>
        </w:rPr>
        <w:t>（3）强化施工阶段的环境管理和加强施工队伍职工环境教育，规范施工人员行为。在施工期间，为保证施工质量，由质量监理部门派人进行监督；为保证环境保护措施得到落实，建立环境监理制度。教育职工爱护环境，保护施工场所周围的一草一木，不随意摘花折木和砍伐、破坏施工带以外的作物和树木。</w:t>
      </w:r>
    </w:p>
    <w:p>
      <w:pPr>
        <w:pStyle w:val="11"/>
        <w:spacing w:line="360" w:lineRule="auto"/>
        <w:ind w:firstLine="480" w:firstLineChars="200"/>
        <w:rPr>
          <w:rFonts w:eastAsiaTheme="minorEastAsia"/>
          <w:sz w:val="24"/>
        </w:rPr>
      </w:pPr>
      <w:r>
        <w:rPr>
          <w:rFonts w:eastAsiaTheme="minorEastAsia"/>
          <w:sz w:val="24"/>
        </w:rPr>
        <w:t>（4）施工的组织安排工作要得当，减轻损失。根据当地农业活动特点组织施工，减轻对农业生产破坏造成的损失。施工期选择在一季作物生长期间完成，不占用两季作物的生长时间。</w:t>
      </w:r>
    </w:p>
    <w:p>
      <w:pPr>
        <w:ind w:firstLine="480"/>
      </w:pPr>
      <w:bookmarkStart w:id="160" w:name="_Toc525633696"/>
      <w:bookmarkStart w:id="161" w:name="_Toc25951"/>
      <w:bookmarkStart w:id="162" w:name="_Toc10861"/>
      <w:bookmarkStart w:id="163" w:name="_Toc16812"/>
      <w:bookmarkStart w:id="164" w:name="_Toc15022"/>
      <w:bookmarkStart w:id="165" w:name="_Toc23655"/>
      <w:bookmarkStart w:id="166" w:name="_Toc27585"/>
      <w:bookmarkStart w:id="167" w:name="_Toc383"/>
      <w:bookmarkStart w:id="168" w:name="_Toc527362338"/>
      <w:bookmarkStart w:id="169" w:name="_Toc10060"/>
      <w:r>
        <w:rPr>
          <w:rFonts w:hint="eastAsia"/>
        </w:rPr>
        <w:t>2、大气环境保护措施</w:t>
      </w:r>
      <w:bookmarkEnd w:id="160"/>
      <w:bookmarkEnd w:id="161"/>
      <w:bookmarkEnd w:id="162"/>
      <w:bookmarkEnd w:id="163"/>
      <w:bookmarkEnd w:id="164"/>
      <w:bookmarkEnd w:id="165"/>
      <w:bookmarkEnd w:id="166"/>
      <w:bookmarkEnd w:id="167"/>
      <w:bookmarkEnd w:id="168"/>
      <w:bookmarkEnd w:id="169"/>
    </w:p>
    <w:p>
      <w:pPr>
        <w:pStyle w:val="11"/>
        <w:spacing w:line="360" w:lineRule="auto"/>
        <w:ind w:firstLine="480" w:firstLineChars="200"/>
        <w:rPr>
          <w:rFonts w:eastAsiaTheme="minorEastAsia"/>
          <w:sz w:val="24"/>
        </w:rPr>
      </w:pPr>
      <w:r>
        <w:rPr>
          <w:rFonts w:eastAsiaTheme="minorEastAsia"/>
          <w:sz w:val="24"/>
        </w:rPr>
        <w:t>（1）根据施工过程的实际情况，在距离居民点较近区段，施工现场设围栏或部分围栏，提高施工效率，减少地表裸露的时间，以减少施工扬尘扩散范围。</w:t>
      </w:r>
    </w:p>
    <w:p>
      <w:pPr>
        <w:pStyle w:val="11"/>
        <w:spacing w:line="360" w:lineRule="auto"/>
        <w:ind w:firstLine="480" w:firstLineChars="200"/>
        <w:rPr>
          <w:rFonts w:eastAsiaTheme="minorEastAsia"/>
          <w:sz w:val="24"/>
        </w:rPr>
      </w:pPr>
      <w:r>
        <w:rPr>
          <w:rFonts w:eastAsiaTheme="minorEastAsia"/>
          <w:sz w:val="24"/>
        </w:rPr>
        <w:t>（2）施工单位必须加强施工区的规划管理。建筑材料的堆场及混凝土搅拌场应定点定位，并采取防尘、抑尘措施，如在大风天气，对散料堆场应采用水喷淋法防尘，以减少建设过程中使用的建筑材料在装卸、堆放、搅拌过程中的粉尘外逸，降低工程建设对当地的空气污染。</w:t>
      </w:r>
    </w:p>
    <w:p>
      <w:pPr>
        <w:pStyle w:val="11"/>
        <w:spacing w:line="360" w:lineRule="auto"/>
        <w:ind w:firstLine="480" w:firstLineChars="200"/>
        <w:rPr>
          <w:rFonts w:eastAsiaTheme="minorEastAsia"/>
          <w:sz w:val="24"/>
        </w:rPr>
      </w:pPr>
      <w:r>
        <w:rPr>
          <w:rFonts w:eastAsiaTheme="minorEastAsia"/>
          <w:sz w:val="24"/>
        </w:rPr>
        <w:t>（3）用汽车运输易起尘的物料时，要加盖蓬布、控制车速，防止物料洒落和产生扬尘；卸车时应尽量减少落差，减少扬尘；运输车辆进出的主干道应定期洒水清扫，保持车辆出入口路面清洁、润湿，并尽量要求运输车辆放慢行车速度。</w:t>
      </w:r>
    </w:p>
    <w:p>
      <w:pPr>
        <w:pStyle w:val="11"/>
        <w:spacing w:line="360" w:lineRule="auto"/>
        <w:ind w:firstLine="480" w:firstLineChars="200"/>
        <w:rPr>
          <w:rFonts w:eastAsiaTheme="minorEastAsia"/>
          <w:sz w:val="24"/>
        </w:rPr>
      </w:pPr>
      <w:r>
        <w:rPr>
          <w:rFonts w:eastAsiaTheme="minorEastAsia"/>
          <w:sz w:val="24"/>
        </w:rPr>
        <w:t>（4）加强对施工机械、车辆的维修保养，禁止以柴油为燃料的施工机械超负荷工作，减少烟尘和颗粒物的排放。</w:t>
      </w:r>
    </w:p>
    <w:p>
      <w:pPr>
        <w:ind w:firstLine="480"/>
        <w:rPr>
          <w:rFonts w:cs="Times New Roman"/>
        </w:rPr>
      </w:pPr>
      <w:bookmarkStart w:id="170" w:name="_Toc18936"/>
      <w:bookmarkStart w:id="171" w:name="_Toc525633697"/>
      <w:bookmarkStart w:id="172" w:name="_Toc32106"/>
      <w:bookmarkStart w:id="173" w:name="_Toc527362339"/>
      <w:bookmarkStart w:id="174" w:name="_Toc11715"/>
      <w:bookmarkStart w:id="175" w:name="_Toc15525"/>
      <w:bookmarkStart w:id="176" w:name="_Toc28673"/>
      <w:bookmarkStart w:id="177" w:name="_Toc18877"/>
      <w:bookmarkStart w:id="178" w:name="_Toc29398"/>
      <w:bookmarkStart w:id="179" w:name="_Toc284"/>
      <w:r>
        <w:rPr>
          <w:rFonts w:hint="eastAsia" w:cs="Times New Roman"/>
        </w:rPr>
        <w:t>3、</w:t>
      </w:r>
      <w:r>
        <w:rPr>
          <w:rFonts w:cs="Times New Roman"/>
        </w:rPr>
        <w:t>地表水环境保护措施</w:t>
      </w:r>
      <w:bookmarkEnd w:id="170"/>
      <w:bookmarkEnd w:id="171"/>
      <w:bookmarkEnd w:id="172"/>
      <w:bookmarkEnd w:id="173"/>
      <w:bookmarkEnd w:id="174"/>
      <w:bookmarkEnd w:id="175"/>
      <w:bookmarkEnd w:id="176"/>
      <w:bookmarkEnd w:id="177"/>
      <w:bookmarkEnd w:id="178"/>
      <w:bookmarkEnd w:id="179"/>
    </w:p>
    <w:p>
      <w:pPr>
        <w:pStyle w:val="11"/>
        <w:spacing w:line="360" w:lineRule="auto"/>
        <w:ind w:firstLine="480" w:firstLineChars="200"/>
        <w:rPr>
          <w:rFonts w:eastAsiaTheme="minorEastAsia"/>
          <w:sz w:val="24"/>
        </w:rPr>
      </w:pPr>
      <w:r>
        <w:rPr>
          <w:rFonts w:eastAsiaTheme="minorEastAsia"/>
          <w:sz w:val="24"/>
        </w:rPr>
        <w:t>工程施工期废水主要来自施工人员在施工作业中产生生活污水和管道安装完后试压排放的废水。</w:t>
      </w:r>
    </w:p>
    <w:p>
      <w:pPr>
        <w:pStyle w:val="11"/>
        <w:spacing w:line="360" w:lineRule="auto"/>
        <w:ind w:firstLine="480" w:firstLineChars="200"/>
        <w:rPr>
          <w:rFonts w:eastAsiaTheme="minorEastAsia"/>
          <w:sz w:val="24"/>
        </w:rPr>
      </w:pPr>
      <w:bookmarkStart w:id="180" w:name="_Toc527362340"/>
      <w:r>
        <w:rPr>
          <w:rFonts w:eastAsiaTheme="minorEastAsia"/>
          <w:sz w:val="24"/>
        </w:rPr>
        <w:t>（1）施工生活污水</w:t>
      </w:r>
      <w:bookmarkEnd w:id="180"/>
    </w:p>
    <w:p>
      <w:pPr>
        <w:pStyle w:val="11"/>
        <w:spacing w:line="360" w:lineRule="auto"/>
        <w:ind w:firstLine="480" w:firstLineChars="200"/>
        <w:rPr>
          <w:rFonts w:eastAsiaTheme="minorEastAsia"/>
          <w:sz w:val="24"/>
        </w:rPr>
      </w:pPr>
      <w:r>
        <w:rPr>
          <w:rFonts w:eastAsiaTheme="minorEastAsia"/>
          <w:sz w:val="24"/>
        </w:rPr>
        <w:t>工程沿线村庄较多，施工条件较好，均有村庄、城镇分布。根据以往管道施工经验，施工队伍吃住尽量依托当地民宅、旅馆或饭店，生活污水处理可依托当地沿线村庄的水处理设施。</w:t>
      </w:r>
    </w:p>
    <w:p>
      <w:pPr>
        <w:pStyle w:val="11"/>
        <w:spacing w:line="360" w:lineRule="auto"/>
        <w:ind w:firstLine="480" w:firstLineChars="200"/>
        <w:rPr>
          <w:rFonts w:eastAsiaTheme="minorEastAsia"/>
          <w:sz w:val="24"/>
        </w:rPr>
      </w:pPr>
      <w:bookmarkStart w:id="181" w:name="_Toc527362341"/>
      <w:r>
        <w:rPr>
          <w:rFonts w:eastAsiaTheme="minorEastAsia"/>
          <w:sz w:val="24"/>
        </w:rPr>
        <w:t>（2）清管试压水</w:t>
      </w:r>
      <w:bookmarkEnd w:id="181"/>
    </w:p>
    <w:p>
      <w:pPr>
        <w:pStyle w:val="11"/>
        <w:spacing w:line="360" w:lineRule="auto"/>
        <w:ind w:firstLine="480" w:firstLineChars="200"/>
        <w:rPr>
          <w:rFonts w:eastAsiaTheme="minorEastAsia"/>
          <w:sz w:val="24"/>
        </w:rPr>
      </w:pPr>
      <w:r>
        <w:rPr>
          <w:rFonts w:eastAsiaTheme="minorEastAsia"/>
          <w:sz w:val="24"/>
        </w:rPr>
        <w:t>试压废水中主要污染物为悬浮物，经收集、沉淀、过滤后可以用于洒水降尘和绿化。</w:t>
      </w:r>
    </w:p>
    <w:p>
      <w:pPr>
        <w:ind w:firstLine="480"/>
      </w:pPr>
      <w:bookmarkStart w:id="182" w:name="_Toc527362342"/>
      <w:bookmarkStart w:id="183" w:name="_Toc13595"/>
      <w:bookmarkStart w:id="184" w:name="_Toc31950"/>
      <w:bookmarkStart w:id="185" w:name="_Toc525633698"/>
      <w:bookmarkStart w:id="186" w:name="_Toc6395"/>
      <w:bookmarkStart w:id="187" w:name="_Toc30399"/>
      <w:bookmarkStart w:id="188" w:name="_Toc14824"/>
      <w:bookmarkStart w:id="189" w:name="_Toc7059"/>
      <w:bookmarkStart w:id="190" w:name="_Toc7882"/>
      <w:bookmarkStart w:id="191" w:name="_Toc13468"/>
      <w:r>
        <w:rPr>
          <w:rFonts w:hint="eastAsia"/>
        </w:rPr>
        <w:t>4、地下水环境保护措施</w:t>
      </w:r>
      <w:bookmarkEnd w:id="182"/>
      <w:bookmarkEnd w:id="183"/>
      <w:bookmarkEnd w:id="184"/>
      <w:bookmarkEnd w:id="185"/>
      <w:bookmarkEnd w:id="186"/>
      <w:bookmarkEnd w:id="187"/>
      <w:bookmarkEnd w:id="188"/>
      <w:bookmarkEnd w:id="189"/>
      <w:bookmarkEnd w:id="190"/>
      <w:bookmarkEnd w:id="191"/>
    </w:p>
    <w:p>
      <w:pPr>
        <w:pStyle w:val="11"/>
        <w:spacing w:line="360" w:lineRule="auto"/>
        <w:ind w:firstLine="480" w:firstLineChars="200"/>
        <w:rPr>
          <w:rFonts w:eastAsiaTheme="minorEastAsia"/>
          <w:sz w:val="24"/>
        </w:rPr>
      </w:pPr>
      <w:r>
        <w:rPr>
          <w:rFonts w:eastAsiaTheme="minorEastAsia"/>
          <w:sz w:val="24"/>
        </w:rPr>
        <w:t>施工期和运营初期，应结合管道线路沿线的地下水监控点，对管线施工对地下水水位及水质变化情况进行监督性监测。</w:t>
      </w:r>
    </w:p>
    <w:p>
      <w:pPr>
        <w:ind w:firstLine="480"/>
      </w:pPr>
      <w:bookmarkStart w:id="192" w:name="_Toc23546"/>
      <w:bookmarkStart w:id="193" w:name="_Toc2780"/>
      <w:bookmarkStart w:id="194" w:name="_Toc22063"/>
      <w:bookmarkStart w:id="195" w:name="_Toc30416"/>
      <w:bookmarkStart w:id="196" w:name="_Toc527362343"/>
      <w:bookmarkStart w:id="197" w:name="_Toc25693"/>
      <w:bookmarkStart w:id="198" w:name="_Toc32687"/>
      <w:bookmarkStart w:id="199" w:name="_Toc25158"/>
      <w:bookmarkStart w:id="200" w:name="_Toc525633699"/>
      <w:bookmarkStart w:id="201" w:name="_Toc30197"/>
      <w:r>
        <w:rPr>
          <w:rFonts w:hint="eastAsia"/>
        </w:rPr>
        <w:t>5、噪声污染防治措施</w:t>
      </w:r>
      <w:bookmarkEnd w:id="192"/>
      <w:bookmarkEnd w:id="193"/>
      <w:bookmarkEnd w:id="194"/>
      <w:bookmarkEnd w:id="195"/>
      <w:bookmarkEnd w:id="196"/>
      <w:bookmarkEnd w:id="197"/>
      <w:bookmarkEnd w:id="198"/>
      <w:bookmarkEnd w:id="199"/>
      <w:bookmarkEnd w:id="200"/>
      <w:bookmarkEnd w:id="201"/>
    </w:p>
    <w:p>
      <w:pPr>
        <w:pStyle w:val="11"/>
        <w:spacing w:line="360" w:lineRule="auto"/>
        <w:ind w:firstLine="480" w:firstLineChars="200"/>
        <w:rPr>
          <w:rFonts w:eastAsiaTheme="minorEastAsia"/>
          <w:sz w:val="24"/>
        </w:rPr>
      </w:pPr>
      <w:r>
        <w:rPr>
          <w:rFonts w:hint="eastAsia" w:eastAsiaTheme="minorEastAsia" w:cstheme="minorBidi"/>
          <w:sz w:val="24"/>
          <w:szCs w:val="22"/>
        </w:rPr>
        <w:t>施工期噪声源主要来自施工作业机械，如挖掘机、电焊机等，其强度在85～</w:t>
      </w:r>
      <w:r>
        <w:rPr>
          <w:rFonts w:eastAsiaTheme="minorEastAsia"/>
          <w:sz w:val="24"/>
        </w:rPr>
        <w:t>105dB</w:t>
      </w:r>
      <w:r>
        <w:rPr>
          <w:rFonts w:hint="eastAsia" w:eastAsiaTheme="minorEastAsia"/>
          <w:sz w:val="24"/>
        </w:rPr>
        <w:t>（</w:t>
      </w:r>
      <w:r>
        <w:rPr>
          <w:rFonts w:eastAsiaTheme="minorEastAsia"/>
          <w:sz w:val="24"/>
        </w:rPr>
        <w:t>A</w:t>
      </w:r>
      <w:r>
        <w:rPr>
          <w:rFonts w:hint="eastAsia" w:eastAsiaTheme="minorEastAsia"/>
          <w:sz w:val="24"/>
        </w:rPr>
        <w:t>）</w:t>
      </w:r>
      <w:r>
        <w:rPr>
          <w:rFonts w:eastAsiaTheme="minorEastAsia"/>
          <w:sz w:val="24"/>
        </w:rPr>
        <w:t>。施工期拟采取如下噪声防治措施：</w:t>
      </w:r>
    </w:p>
    <w:p>
      <w:pPr>
        <w:pStyle w:val="11"/>
        <w:spacing w:line="360" w:lineRule="auto"/>
        <w:ind w:firstLine="480" w:firstLineChars="200"/>
        <w:rPr>
          <w:rFonts w:eastAsiaTheme="minorEastAsia"/>
          <w:sz w:val="24"/>
        </w:rPr>
      </w:pPr>
      <w:r>
        <w:rPr>
          <w:rFonts w:eastAsiaTheme="minorEastAsia"/>
          <w:sz w:val="24"/>
        </w:rPr>
        <w:t>（1）施工单位必须选用符合国家有关标准的施工机械和运输车辆，尽量选用低噪声的施工机械和工艺，同时加强各类施工设备的维护和保养，保持其良好的工况，以便从根本上降低噪声源强。</w:t>
      </w:r>
    </w:p>
    <w:p>
      <w:pPr>
        <w:pStyle w:val="11"/>
        <w:spacing w:line="360" w:lineRule="auto"/>
        <w:ind w:firstLine="480" w:firstLineChars="200"/>
        <w:rPr>
          <w:rFonts w:eastAsiaTheme="minorEastAsia"/>
          <w:sz w:val="24"/>
        </w:rPr>
      </w:pPr>
      <w:r>
        <w:rPr>
          <w:rFonts w:eastAsiaTheme="minorEastAsia"/>
          <w:sz w:val="24"/>
        </w:rPr>
        <w:t>（2）在居民区附近施工时严格执行当地政府控制规定，特别是居民区，严禁在晚上10时至次日6时进行高噪声施工，夜间施工应向当地环保部门申请，批准后才能根据规定施工。</w:t>
      </w:r>
    </w:p>
    <w:p>
      <w:pPr>
        <w:pStyle w:val="11"/>
        <w:spacing w:line="360" w:lineRule="auto"/>
        <w:ind w:firstLine="480" w:firstLineChars="200"/>
        <w:rPr>
          <w:rFonts w:eastAsiaTheme="minorEastAsia"/>
          <w:sz w:val="24"/>
        </w:rPr>
      </w:pPr>
      <w:r>
        <w:rPr>
          <w:rFonts w:eastAsiaTheme="minorEastAsia"/>
          <w:sz w:val="24"/>
        </w:rPr>
        <w:t>（3）在施工中应根据具体情况，合理安排施工时间，提高操作水平，与周围居民做好沟通工作，大型穿越工程及敏感点较多处等噪声敏感路段应设置隔声围护，以减少对敏感点的影响，防止发生噪声扰民现象。</w:t>
      </w:r>
    </w:p>
    <w:p>
      <w:pPr>
        <w:pStyle w:val="11"/>
        <w:spacing w:line="360" w:lineRule="auto"/>
        <w:ind w:firstLine="480" w:firstLineChars="200"/>
        <w:rPr>
          <w:rFonts w:eastAsiaTheme="minorEastAsia"/>
          <w:sz w:val="24"/>
        </w:rPr>
      </w:pPr>
      <w:r>
        <w:rPr>
          <w:rFonts w:eastAsiaTheme="minorEastAsia"/>
          <w:sz w:val="24"/>
        </w:rPr>
        <w:t>（4）运输车辆经过沿线居民区时应尽可能减少鸣号，尤其是在晚间和午休时间。</w:t>
      </w:r>
    </w:p>
    <w:p>
      <w:pPr>
        <w:pStyle w:val="11"/>
        <w:spacing w:line="360" w:lineRule="auto"/>
        <w:ind w:firstLine="480" w:firstLineChars="200"/>
        <w:rPr>
          <w:rFonts w:eastAsiaTheme="minorEastAsia"/>
          <w:sz w:val="24"/>
        </w:rPr>
      </w:pPr>
      <w:r>
        <w:rPr>
          <w:rFonts w:eastAsiaTheme="minorEastAsia"/>
          <w:sz w:val="24"/>
        </w:rPr>
        <w:t>（5）合理布局施工现场，避免在同一地点安排大量动力机械设备，以免局部噪声声级过高。</w:t>
      </w:r>
    </w:p>
    <w:p>
      <w:pPr>
        <w:ind w:firstLine="480"/>
      </w:pPr>
      <w:bookmarkStart w:id="202" w:name="_Toc32479"/>
      <w:bookmarkStart w:id="203" w:name="_Toc6637"/>
      <w:bookmarkStart w:id="204" w:name="_Toc17242"/>
      <w:bookmarkStart w:id="205" w:name="_Toc525633700"/>
      <w:bookmarkStart w:id="206" w:name="_Toc30635"/>
      <w:bookmarkStart w:id="207" w:name="_Toc3438"/>
      <w:bookmarkStart w:id="208" w:name="_Toc11065"/>
      <w:bookmarkStart w:id="209" w:name="_Toc26436"/>
      <w:bookmarkStart w:id="210" w:name="_Toc527362344"/>
      <w:bookmarkStart w:id="211" w:name="_Toc16313"/>
      <w:r>
        <w:rPr>
          <w:rFonts w:hint="eastAsia"/>
        </w:rPr>
        <w:t>6、固体废物污染防治措施</w:t>
      </w:r>
      <w:bookmarkEnd w:id="202"/>
      <w:bookmarkEnd w:id="203"/>
      <w:bookmarkEnd w:id="204"/>
      <w:bookmarkEnd w:id="205"/>
      <w:bookmarkEnd w:id="206"/>
      <w:bookmarkEnd w:id="207"/>
      <w:bookmarkEnd w:id="208"/>
      <w:bookmarkEnd w:id="209"/>
      <w:bookmarkEnd w:id="210"/>
      <w:bookmarkEnd w:id="211"/>
    </w:p>
    <w:p>
      <w:pPr>
        <w:ind w:firstLine="480"/>
        <w:rPr>
          <w:rFonts w:cs="Times New Roman"/>
        </w:rPr>
      </w:pPr>
      <w:r>
        <w:rPr>
          <w:rFonts w:cs="Times New Roman"/>
        </w:rPr>
        <w:t>本项目施工生活垃圾主要包括废弃包装、纸屑等，产生量为</w:t>
      </w:r>
      <w:r>
        <w:rPr>
          <w:rFonts w:hint="eastAsia" w:cs="Times New Roman"/>
        </w:rPr>
        <w:t>1.875</w:t>
      </w:r>
      <w:r>
        <w:rPr>
          <w:rFonts w:cs="Times New Roman"/>
        </w:rPr>
        <w:t>t，统一收集后，依托当地环卫部门处置。不会对周围环境产生明显影响。本项目产生的土石方主要是管道开挖和回填后产生的剩余弃土石方和废渣。弃土方、弃渣用于管道两侧田埂修整、低凹地平整，对周围环境影响很小。本项目施工过程产生的施工废料量约为0</w:t>
      </w:r>
      <w:r>
        <w:rPr>
          <w:rFonts w:hint="eastAsia" w:cs="Times New Roman"/>
        </w:rPr>
        <w:t>.4</w:t>
      </w:r>
      <w:r>
        <w:rPr>
          <w:rFonts w:cs="Times New Roman"/>
        </w:rPr>
        <w:t>2t，废料依托当地环卫部门有偿清运。</w:t>
      </w:r>
      <w:r>
        <w:rPr>
          <w:rFonts w:hint="eastAsia" w:cs="Times New Roman"/>
        </w:rPr>
        <w:t>定向钻泥浆暂存于泥浆暂存池，委托有资质的单位处置。</w:t>
      </w:r>
      <w:r>
        <w:rPr>
          <w:rFonts w:cs="Times New Roman"/>
        </w:rPr>
        <w:t>对周围环境影响很小。</w:t>
      </w:r>
    </w:p>
    <w:p>
      <w:pPr>
        <w:pStyle w:val="4"/>
        <w:spacing w:before="163"/>
        <w:rPr>
          <w:rFonts w:cs="Times New Roman" w:eastAsiaTheme="minorEastAsia"/>
        </w:rPr>
      </w:pPr>
      <w:bookmarkStart w:id="212" w:name="_Toc24732"/>
      <w:bookmarkStart w:id="213" w:name="_Toc16646"/>
      <w:bookmarkStart w:id="214" w:name="_Toc1696"/>
      <w:bookmarkStart w:id="215" w:name="_Toc28860"/>
      <w:bookmarkStart w:id="216" w:name="_Toc17386524"/>
      <w:bookmarkStart w:id="217" w:name="_Toc14714"/>
      <w:bookmarkStart w:id="218" w:name="_Toc23004"/>
      <w:bookmarkStart w:id="219" w:name="_Toc25407"/>
      <w:bookmarkStart w:id="220" w:name="_Toc11175"/>
      <w:bookmarkStart w:id="221" w:name="_Toc527362346"/>
      <w:bookmarkStart w:id="222" w:name="_Toc525633702"/>
      <w:bookmarkStart w:id="223" w:name="_Toc527363037"/>
      <w:r>
        <w:rPr>
          <w:rFonts w:cs="Times New Roman" w:eastAsiaTheme="minorEastAsia"/>
        </w:rPr>
        <w:t>公众参与</w:t>
      </w:r>
      <w:bookmarkEnd w:id="212"/>
      <w:bookmarkEnd w:id="213"/>
      <w:bookmarkEnd w:id="214"/>
      <w:bookmarkEnd w:id="215"/>
      <w:bookmarkEnd w:id="216"/>
      <w:bookmarkEnd w:id="217"/>
      <w:bookmarkEnd w:id="218"/>
      <w:bookmarkEnd w:id="219"/>
      <w:bookmarkEnd w:id="220"/>
      <w:bookmarkEnd w:id="221"/>
      <w:bookmarkEnd w:id="222"/>
      <w:bookmarkEnd w:id="223"/>
    </w:p>
    <w:p>
      <w:pPr>
        <w:pStyle w:val="7"/>
        <w:spacing w:after="0"/>
        <w:ind w:firstLine="480"/>
        <w:rPr>
          <w:rFonts w:cs="Times New Roman"/>
          <w:szCs w:val="24"/>
        </w:rPr>
      </w:pPr>
      <w:r>
        <w:rPr>
          <w:rFonts w:cs="Times New Roman"/>
          <w:szCs w:val="24"/>
        </w:rPr>
        <w:t>根据《中华人民共和国环境影响评价法》及《环境影响评价公众参与办法》（部令第4号）、《环境影响评价技术导则—公众参与》（征求意见稿）、《山东省环境保护厅关于加强建设项目环境影响评价公众参与监督管理工作的通知》（鲁环评函〔2012〕138号）中的相关规定，项目</w:t>
      </w:r>
      <w:r>
        <w:rPr>
          <w:rFonts w:hint="eastAsia" w:cs="Times New Roman"/>
          <w:szCs w:val="24"/>
        </w:rPr>
        <w:t>于2021年4月25日在潍城区政府信息公开专栏网站进行了第一次公示，并于2021年5月在潍城区政府信息公开专栏网站、潍坊日报、韩家村</w:t>
      </w:r>
      <w:r>
        <w:rPr>
          <w:rFonts w:cs="Times New Roman"/>
          <w:szCs w:val="24"/>
        </w:rPr>
        <w:t>开展了</w:t>
      </w:r>
      <w:r>
        <w:rPr>
          <w:rFonts w:hint="eastAsia" w:cs="Times New Roman"/>
          <w:szCs w:val="24"/>
        </w:rPr>
        <w:t>第二次</w:t>
      </w:r>
      <w:r>
        <w:rPr>
          <w:rFonts w:cs="Times New Roman"/>
          <w:szCs w:val="24"/>
        </w:rPr>
        <w:t>公示</w:t>
      </w:r>
      <w:r>
        <w:rPr>
          <w:rFonts w:hint="eastAsia" w:cs="Times New Roman"/>
          <w:szCs w:val="24"/>
        </w:rPr>
        <w:t>，</w:t>
      </w:r>
      <w:r>
        <w:rPr>
          <w:rFonts w:cs="Times New Roman"/>
          <w:szCs w:val="24"/>
        </w:rPr>
        <w:t>本工程建设得到了绝大多数公众和当地各级政府、社会团体的支持，工程建设对当地社会经济发展有积极作用。</w:t>
      </w:r>
    </w:p>
    <w:p>
      <w:pPr>
        <w:pStyle w:val="4"/>
        <w:spacing w:before="163"/>
        <w:rPr>
          <w:rFonts w:cs="Times New Roman" w:eastAsiaTheme="minorEastAsia"/>
        </w:rPr>
      </w:pPr>
      <w:bookmarkStart w:id="224" w:name="_Toc32015"/>
      <w:bookmarkStart w:id="225" w:name="_Toc17737"/>
      <w:bookmarkStart w:id="226" w:name="_Toc525633703"/>
      <w:bookmarkStart w:id="227" w:name="_Toc487"/>
      <w:bookmarkStart w:id="228" w:name="_Toc17386525"/>
      <w:bookmarkStart w:id="229" w:name="_Toc4190"/>
      <w:bookmarkStart w:id="230" w:name="_Toc527363038"/>
      <w:bookmarkStart w:id="231" w:name="_Toc527362347"/>
      <w:bookmarkStart w:id="232" w:name="_Toc9854"/>
      <w:bookmarkStart w:id="233" w:name="_Toc21133"/>
      <w:bookmarkStart w:id="234" w:name="_Toc26919"/>
      <w:bookmarkStart w:id="235" w:name="_Toc29914"/>
      <w:r>
        <w:rPr>
          <w:rFonts w:cs="Times New Roman" w:eastAsiaTheme="minorEastAsia"/>
        </w:rPr>
        <w:t>总评价结论</w:t>
      </w:r>
      <w:bookmarkEnd w:id="224"/>
      <w:bookmarkEnd w:id="225"/>
      <w:bookmarkEnd w:id="226"/>
      <w:bookmarkEnd w:id="227"/>
      <w:bookmarkEnd w:id="228"/>
      <w:bookmarkEnd w:id="229"/>
      <w:bookmarkEnd w:id="230"/>
      <w:bookmarkEnd w:id="231"/>
      <w:bookmarkEnd w:id="232"/>
      <w:bookmarkEnd w:id="233"/>
      <w:bookmarkEnd w:id="234"/>
      <w:bookmarkEnd w:id="235"/>
    </w:p>
    <w:p>
      <w:pPr>
        <w:pStyle w:val="7"/>
        <w:spacing w:after="0"/>
        <w:ind w:firstLine="480"/>
        <w:rPr>
          <w:rFonts w:cs="Times New Roman"/>
          <w:szCs w:val="24"/>
        </w:rPr>
      </w:pPr>
      <w:r>
        <w:rPr>
          <w:rFonts w:cs="Times New Roman"/>
          <w:szCs w:val="24"/>
        </w:rPr>
        <w:t>本工程建设符合国家的产业政策和环境保护政策要求，符合环境保护规划要求，选址选线合理。设计中采取了先进的工艺设备、污染防治、清洁生产、节水等措施。工程建设和运行期间将会对工程区域的生态环境、大气环境、地表水环境、地下水环境、声环境等产生一定的影响，在工程施工及运行过程中，建设单位将认真落实工程设计和本报告中提出的生态环境保护和恢复措施、污染防治措施、环境风险应急措施并编制环境风险应急预案，可以把工程对环境的影响降到可接受程度。因此，项目在落实环评报告书提出的环境保护措施、环境风险防范及应急管理措施以及满足环评报告书提出建议的前提下，本项目建设从环境保护角度是可行的。</w:t>
      </w:r>
    </w:p>
    <w:p>
      <w:pPr>
        <w:pStyle w:val="4"/>
        <w:spacing w:before="163"/>
        <w:rPr>
          <w:rFonts w:cs="Times New Roman" w:eastAsiaTheme="minorEastAsia"/>
        </w:rPr>
      </w:pPr>
      <w:bookmarkStart w:id="236" w:name="_Toc19607"/>
      <w:bookmarkStart w:id="237" w:name="_Toc17386526"/>
      <w:r>
        <w:rPr>
          <w:rFonts w:cs="Times New Roman" w:eastAsiaTheme="minorEastAsia"/>
        </w:rPr>
        <w:t>环保措施及验收要求</w:t>
      </w:r>
      <w:bookmarkEnd w:id="236"/>
      <w:bookmarkEnd w:id="237"/>
    </w:p>
    <w:p>
      <w:pPr>
        <w:ind w:firstLine="480"/>
        <w:rPr>
          <w:rFonts w:cs="Times New Roman"/>
          <w:kern w:val="0"/>
          <w:szCs w:val="24"/>
        </w:rPr>
      </w:pPr>
      <w:r>
        <w:rPr>
          <w:rFonts w:cs="Times New Roman"/>
          <w:kern w:val="0"/>
          <w:szCs w:val="24"/>
        </w:rPr>
        <w:t>本工程环境管理措施和建议见表1</w:t>
      </w:r>
      <w:r>
        <w:rPr>
          <w:rFonts w:hint="eastAsia" w:cs="Times New Roman"/>
          <w:kern w:val="0"/>
          <w:szCs w:val="24"/>
        </w:rPr>
        <w:t>1.4-1</w:t>
      </w:r>
      <w:r>
        <w:rPr>
          <w:rFonts w:cs="Times New Roman"/>
          <w:kern w:val="0"/>
          <w:szCs w:val="24"/>
        </w:rPr>
        <w:t>。</w:t>
      </w:r>
    </w:p>
    <w:p>
      <w:pPr>
        <w:snapToGrid w:val="0"/>
        <w:ind w:firstLine="482"/>
        <w:jc w:val="center"/>
        <w:rPr>
          <w:rFonts w:cs="Times New Roman"/>
          <w:b/>
          <w:snapToGrid w:val="0"/>
          <w:kern w:val="0"/>
          <w:szCs w:val="24"/>
        </w:rPr>
      </w:pPr>
      <w:r>
        <w:rPr>
          <w:rFonts w:cs="Times New Roman"/>
          <w:b/>
          <w:snapToGrid w:val="0"/>
          <w:kern w:val="0"/>
          <w:szCs w:val="24"/>
        </w:rPr>
        <w:t>表1</w:t>
      </w:r>
      <w:r>
        <w:rPr>
          <w:rFonts w:hint="eastAsia" w:cs="Times New Roman"/>
          <w:b/>
          <w:snapToGrid w:val="0"/>
          <w:kern w:val="0"/>
          <w:szCs w:val="24"/>
        </w:rPr>
        <w:t>1.4-1</w:t>
      </w:r>
      <w:r>
        <w:rPr>
          <w:rFonts w:cs="Times New Roman"/>
          <w:b/>
          <w:snapToGrid w:val="0"/>
          <w:kern w:val="0"/>
          <w:szCs w:val="24"/>
        </w:rPr>
        <w:t xml:space="preserve">  环境管理措施和建议一览表</w:t>
      </w:r>
    </w:p>
    <w:tbl>
      <w:tblPr>
        <w:tblStyle w:val="9"/>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6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ind w:firstLine="0" w:firstLineChars="0"/>
              <w:jc w:val="center"/>
              <w:rPr>
                <w:rFonts w:cs="Times New Roman"/>
                <w:b/>
                <w:bCs/>
                <w:sz w:val="21"/>
                <w:szCs w:val="21"/>
              </w:rPr>
            </w:pPr>
            <w:r>
              <w:rPr>
                <w:rFonts w:cs="Times New Roman"/>
                <w:b/>
                <w:bCs/>
                <w:sz w:val="21"/>
                <w:szCs w:val="21"/>
              </w:rPr>
              <w:t>序号</w:t>
            </w:r>
          </w:p>
        </w:tc>
        <w:tc>
          <w:tcPr>
            <w:tcW w:w="709" w:type="dxa"/>
            <w:tcBorders>
              <w:tl2br w:val="nil"/>
              <w:tr2bl w:val="nil"/>
            </w:tcBorders>
            <w:shd w:val="clear" w:color="auto" w:fill="auto"/>
            <w:vAlign w:val="center"/>
          </w:tcPr>
          <w:p>
            <w:pPr>
              <w:ind w:firstLine="0" w:firstLineChars="0"/>
              <w:jc w:val="center"/>
              <w:rPr>
                <w:rFonts w:cs="Times New Roman"/>
                <w:b/>
                <w:bCs/>
                <w:sz w:val="21"/>
                <w:szCs w:val="21"/>
              </w:rPr>
            </w:pPr>
            <w:r>
              <w:rPr>
                <w:rFonts w:cs="Times New Roman"/>
                <w:b/>
                <w:bCs/>
                <w:sz w:val="21"/>
                <w:szCs w:val="21"/>
              </w:rPr>
              <w:t>类别</w:t>
            </w:r>
          </w:p>
        </w:tc>
        <w:tc>
          <w:tcPr>
            <w:tcW w:w="1134" w:type="dxa"/>
            <w:tcBorders>
              <w:tl2br w:val="nil"/>
              <w:tr2bl w:val="nil"/>
            </w:tcBorders>
            <w:shd w:val="clear" w:color="auto" w:fill="auto"/>
            <w:vAlign w:val="center"/>
          </w:tcPr>
          <w:p>
            <w:pPr>
              <w:ind w:firstLine="0" w:firstLineChars="0"/>
              <w:jc w:val="center"/>
              <w:rPr>
                <w:rFonts w:cs="Times New Roman"/>
                <w:b/>
                <w:bCs/>
                <w:sz w:val="21"/>
                <w:szCs w:val="21"/>
              </w:rPr>
            </w:pPr>
            <w:r>
              <w:rPr>
                <w:rFonts w:cs="Times New Roman"/>
                <w:b/>
                <w:bCs/>
                <w:sz w:val="21"/>
                <w:szCs w:val="21"/>
              </w:rPr>
              <w:t>污染物</w:t>
            </w:r>
          </w:p>
        </w:tc>
        <w:tc>
          <w:tcPr>
            <w:tcW w:w="6607" w:type="dxa"/>
            <w:tcBorders>
              <w:tl2br w:val="nil"/>
              <w:tr2bl w:val="nil"/>
            </w:tcBorders>
            <w:shd w:val="clear" w:color="auto" w:fill="auto"/>
            <w:vAlign w:val="center"/>
          </w:tcPr>
          <w:p>
            <w:pPr>
              <w:ind w:firstLine="0" w:firstLineChars="0"/>
              <w:jc w:val="center"/>
              <w:rPr>
                <w:rFonts w:cs="Times New Roman"/>
                <w:b/>
                <w:bCs/>
                <w:sz w:val="21"/>
                <w:szCs w:val="21"/>
              </w:rPr>
            </w:pPr>
            <w:r>
              <w:rPr>
                <w:rFonts w:cs="Times New Roman"/>
                <w:b/>
                <w:bCs/>
                <w:sz w:val="21"/>
                <w:szCs w:val="21"/>
              </w:rPr>
              <w:t>措施及效果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1</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废气治理</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颗粒物、</w:t>
            </w:r>
          </w:p>
          <w:p>
            <w:pPr>
              <w:spacing w:line="240" w:lineRule="auto"/>
              <w:ind w:firstLine="0" w:firstLineChars="0"/>
              <w:jc w:val="center"/>
              <w:rPr>
                <w:rFonts w:cs="Times New Roman"/>
                <w:sz w:val="21"/>
                <w:szCs w:val="21"/>
              </w:rPr>
            </w:pPr>
            <w:r>
              <w:rPr>
                <w:rFonts w:cs="Times New Roman"/>
                <w:sz w:val="21"/>
                <w:szCs w:val="21"/>
              </w:rPr>
              <w:t>车辆尾气</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根据施工过程的实际情况，在距离居民点较近区段，施工现场设围栏或部分围栏，以减少施工扬尘扩散范围。</w:t>
            </w:r>
          </w:p>
          <w:p>
            <w:pPr>
              <w:spacing w:line="240" w:lineRule="auto"/>
              <w:ind w:firstLine="0" w:firstLineChars="0"/>
              <w:jc w:val="left"/>
              <w:rPr>
                <w:rFonts w:cs="Times New Roman"/>
                <w:sz w:val="21"/>
                <w:szCs w:val="21"/>
              </w:rPr>
            </w:pPr>
            <w:r>
              <w:rPr>
                <w:rFonts w:cs="Times New Roman"/>
                <w:sz w:val="21"/>
                <w:szCs w:val="21"/>
              </w:rPr>
              <w:t>应避免大风时节施工，尽可能缩短施工时间，提高施工效率，减少地表裸露的时间，遇有大风天气时，应避免进行挖掘、回填等大土方量作业或采取喷水抑尘措施。</w:t>
            </w:r>
          </w:p>
          <w:p>
            <w:pPr>
              <w:spacing w:line="240" w:lineRule="auto"/>
              <w:ind w:firstLine="0" w:firstLineChars="0"/>
              <w:jc w:val="left"/>
              <w:rPr>
                <w:rFonts w:cs="Times New Roman"/>
                <w:sz w:val="21"/>
                <w:szCs w:val="21"/>
              </w:rPr>
            </w:pPr>
            <w:r>
              <w:rPr>
                <w:rFonts w:cs="Times New Roman"/>
                <w:sz w:val="21"/>
                <w:szCs w:val="21"/>
              </w:rPr>
              <w:t>采用封闭式运输，并加强施工道路的洒水清扫，减少扬尘产生。</w:t>
            </w:r>
          </w:p>
          <w:p>
            <w:pPr>
              <w:spacing w:line="240" w:lineRule="auto"/>
              <w:ind w:firstLine="0" w:firstLineChars="0"/>
              <w:jc w:val="left"/>
              <w:rPr>
                <w:rFonts w:cs="Times New Roman"/>
                <w:sz w:val="21"/>
                <w:szCs w:val="21"/>
              </w:rPr>
            </w:pPr>
            <w:r>
              <w:rPr>
                <w:rFonts w:cs="Times New Roman"/>
                <w:sz w:val="21"/>
                <w:szCs w:val="21"/>
              </w:rPr>
              <w:t>露天堆场和裸露场地采用土工布围护，可减少扬尘产生。</w:t>
            </w:r>
          </w:p>
          <w:p>
            <w:pPr>
              <w:spacing w:line="240" w:lineRule="auto"/>
              <w:ind w:firstLine="0" w:firstLineChars="0"/>
              <w:jc w:val="left"/>
              <w:rPr>
                <w:rFonts w:cs="Times New Roman"/>
                <w:sz w:val="21"/>
                <w:szCs w:val="21"/>
              </w:rPr>
            </w:pPr>
            <w:r>
              <w:rPr>
                <w:rFonts w:cs="Times New Roman"/>
                <w:sz w:val="21"/>
                <w:szCs w:val="21"/>
              </w:rPr>
              <w:t>运输车辆、推土机、挖掘机等在进入施工区时应减速行驶，同时，做好施工机械的维修、保养，使其正常运行。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2</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废水治理</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生活污水</w:t>
            </w:r>
          </w:p>
          <w:p>
            <w:pPr>
              <w:spacing w:line="240" w:lineRule="auto"/>
              <w:ind w:firstLine="0" w:firstLineChars="0"/>
              <w:jc w:val="center"/>
              <w:rPr>
                <w:rFonts w:cs="Times New Roman"/>
                <w:sz w:val="21"/>
                <w:szCs w:val="21"/>
              </w:rPr>
            </w:pPr>
            <w:r>
              <w:rPr>
                <w:rFonts w:cs="Times New Roman"/>
                <w:sz w:val="21"/>
                <w:szCs w:val="21"/>
              </w:rPr>
              <w:t>试压排水</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生活污水可依托村镇现有的化粪池等处理设施进行处置。</w:t>
            </w:r>
          </w:p>
          <w:p>
            <w:pPr>
              <w:spacing w:line="240" w:lineRule="auto"/>
              <w:ind w:firstLine="0" w:firstLineChars="0"/>
              <w:jc w:val="left"/>
              <w:rPr>
                <w:rFonts w:cs="Times New Roman"/>
                <w:sz w:val="21"/>
                <w:szCs w:val="21"/>
              </w:rPr>
            </w:pPr>
            <w:r>
              <w:rPr>
                <w:rFonts w:cs="Times New Roman"/>
                <w:sz w:val="21"/>
                <w:szCs w:val="21"/>
              </w:rPr>
              <w:t>试压水可经过沉淀后用于绿化或农田灌溉。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3</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地下水</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注重源头控制，采取严格的防腐措施和强化安全措施，确保管道设计、选材、安装质量，加强运行管理，确保管道安全运行，防止或将</w:t>
            </w:r>
            <w:r>
              <w:rPr>
                <w:rFonts w:hint="eastAsia" w:cs="Times New Roman"/>
                <w:sz w:val="21"/>
                <w:szCs w:val="21"/>
              </w:rPr>
              <w:t>天然气</w:t>
            </w:r>
            <w:r>
              <w:rPr>
                <w:rFonts w:cs="Times New Roman"/>
                <w:sz w:val="21"/>
                <w:szCs w:val="21"/>
              </w:rPr>
              <w:t>泄漏的可能性降到最低限度。</w:t>
            </w:r>
          </w:p>
          <w:p>
            <w:pPr>
              <w:spacing w:line="240" w:lineRule="auto"/>
              <w:ind w:firstLine="0" w:firstLineChars="0"/>
              <w:jc w:val="left"/>
              <w:rPr>
                <w:rFonts w:cs="Times New Roman"/>
                <w:sz w:val="21"/>
                <w:szCs w:val="21"/>
              </w:rPr>
            </w:pPr>
            <w:r>
              <w:rPr>
                <w:rFonts w:cs="Times New Roman"/>
                <w:sz w:val="21"/>
                <w:szCs w:val="21"/>
              </w:rPr>
              <w:t>强化监控手段，采取国内外最先进的、自动化程度高的管线检漏和定位系统，达到实时监控、准确及时报警和定位、快速处理泄漏事故，将事故发生和持续时间控制在最短范围内，避免或将其造成的影响控制在最小范围内。</w:t>
            </w:r>
          </w:p>
          <w:p>
            <w:pPr>
              <w:spacing w:line="240" w:lineRule="auto"/>
              <w:ind w:firstLine="0" w:firstLineChars="0"/>
              <w:jc w:val="left"/>
              <w:rPr>
                <w:rFonts w:cs="Times New Roman"/>
                <w:sz w:val="21"/>
                <w:szCs w:val="21"/>
              </w:rPr>
            </w:pPr>
            <w:r>
              <w:rPr>
                <w:rFonts w:cs="Times New Roman"/>
                <w:sz w:val="21"/>
                <w:szCs w:val="21"/>
              </w:rPr>
              <w:t>完善应急响应措施。污染事故一旦发生，立即启动应急防范措施，减少事故影响。</w:t>
            </w:r>
          </w:p>
          <w:p>
            <w:pPr>
              <w:spacing w:line="240" w:lineRule="auto"/>
              <w:ind w:firstLine="0" w:firstLineChars="0"/>
              <w:jc w:val="left"/>
              <w:rPr>
                <w:rFonts w:cs="Times New Roman"/>
                <w:sz w:val="21"/>
                <w:szCs w:val="21"/>
              </w:rPr>
            </w:pPr>
            <w:r>
              <w:rPr>
                <w:rFonts w:cs="Times New Roman"/>
                <w:sz w:val="21"/>
                <w:szCs w:val="21"/>
              </w:rPr>
              <w:t>还要建立巡检制度，严防第三方破坏。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4</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固体废物</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highlight w:val="yellow"/>
              </w:rPr>
              <w:t>施工废料及生活垃圾应委托当地的环卫部门统一回收处理，</w:t>
            </w:r>
            <w:r>
              <w:rPr>
                <w:rFonts w:hint="eastAsia" w:cs="Times New Roman"/>
                <w:sz w:val="21"/>
                <w:szCs w:val="21"/>
                <w:highlight w:val="yellow"/>
                <w:lang w:val="en-US" w:eastAsia="zh-CN"/>
              </w:rPr>
              <w:t>定向钻泥浆暂存于泥浆暂存处，委托有处理资质的单位处置，</w:t>
            </w:r>
            <w:r>
              <w:rPr>
                <w:rFonts w:cs="Times New Roman"/>
                <w:sz w:val="21"/>
                <w:szCs w:val="21"/>
              </w:rPr>
              <w:t>确保本工程所有固废均能得到合理处置，处置措施和处置方案满足《一般工业固体废物贮存、处置场污染控制标准》（GB18599-20</w:t>
            </w:r>
            <w:r>
              <w:rPr>
                <w:rFonts w:hint="eastAsia" w:cs="Times New Roman"/>
                <w:sz w:val="21"/>
                <w:szCs w:val="21"/>
                <w:lang w:val="en-US" w:eastAsia="zh-CN"/>
              </w:rPr>
              <w:t>20</w:t>
            </w:r>
            <w:r>
              <w:rPr>
                <w:rFonts w:cs="Times New Roman"/>
                <w:sz w:val="21"/>
                <w:szCs w:val="21"/>
              </w:rPr>
              <w:t>）及修改单标准要求。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5</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噪声</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选用低噪声的机械设备；运输车辆经过居民区时减缓行驶速度；靠近村庄施工时，应加强管理，以减少施工噪声对居民的直接影响。</w:t>
            </w:r>
          </w:p>
          <w:p>
            <w:pPr>
              <w:spacing w:line="240" w:lineRule="auto"/>
              <w:ind w:firstLine="0" w:firstLineChars="0"/>
              <w:jc w:val="left"/>
              <w:rPr>
                <w:rFonts w:cs="Times New Roman"/>
                <w:sz w:val="21"/>
                <w:szCs w:val="21"/>
              </w:rPr>
            </w:pPr>
            <w:r>
              <w:rPr>
                <w:rFonts w:cs="Times New Roman"/>
                <w:sz w:val="21"/>
                <w:szCs w:val="21"/>
              </w:rPr>
              <w:t>在居民区附近施工时严格执行当地政府控制规定，特别是居民区，严禁在晚上10时至次日6时进行高噪声施工，夜间施工应向环保部门申请，批准后才能根据规定施工。</w:t>
            </w:r>
          </w:p>
          <w:p>
            <w:pPr>
              <w:spacing w:line="240" w:lineRule="auto"/>
              <w:ind w:firstLine="0" w:firstLineChars="0"/>
              <w:jc w:val="left"/>
              <w:rPr>
                <w:rFonts w:cs="Times New Roman"/>
                <w:sz w:val="21"/>
                <w:szCs w:val="21"/>
              </w:rPr>
            </w:pPr>
            <w:r>
              <w:rPr>
                <w:rFonts w:cs="Times New Roman"/>
                <w:sz w:val="21"/>
                <w:szCs w:val="21"/>
              </w:rPr>
              <w:t>在施工中应根据具体情况，合理安排施工时间，提高操作水平，与周围居民做好沟通工作，大型穿越工程及敏感点较多处应设置隔声围护，以减少对敏感点的影响，防止发生噪声扰民现象。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6</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环境风险</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本工程必须加强管理，杜绝各类事故发生，应制定详细的事故应急计划，</w:t>
            </w:r>
            <w:r>
              <w:rPr>
                <w:rFonts w:cs="Times New Roman"/>
                <w:sz w:val="21"/>
                <w:szCs w:val="21"/>
                <w:highlight w:val="yellow"/>
              </w:rPr>
              <w:t>严格落实报告</w:t>
            </w:r>
            <w:r>
              <w:rPr>
                <w:rFonts w:hint="eastAsia" w:cs="Times New Roman"/>
                <w:sz w:val="21"/>
                <w:szCs w:val="21"/>
                <w:highlight w:val="yellow"/>
                <w:lang w:val="en-US" w:eastAsia="zh-CN"/>
              </w:rPr>
              <w:t>书</w:t>
            </w:r>
            <w:r>
              <w:rPr>
                <w:rFonts w:cs="Times New Roman"/>
                <w:sz w:val="21"/>
                <w:szCs w:val="21"/>
                <w:highlight w:val="yellow"/>
              </w:rPr>
              <w:t>提出的各项环境风险防范措施，编制环境风险应急预案，配备必要的应急设备，将事故风险环境影响降到最低</w:t>
            </w: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7</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生态保护</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合理进行施工布置，精心组织施工管理，严格将工程施工区及施工影响控制在最小的范围内。</w:t>
            </w:r>
          </w:p>
          <w:p>
            <w:pPr>
              <w:spacing w:line="240" w:lineRule="auto"/>
              <w:ind w:firstLine="0" w:firstLineChars="0"/>
              <w:jc w:val="left"/>
              <w:rPr>
                <w:rFonts w:cs="Times New Roman"/>
                <w:sz w:val="21"/>
                <w:szCs w:val="21"/>
              </w:rPr>
            </w:pPr>
            <w:r>
              <w:rPr>
                <w:rFonts w:cs="Times New Roman"/>
                <w:sz w:val="21"/>
                <w:szCs w:val="21"/>
              </w:rPr>
              <w:t>在施工过程中执行“分层开挖原则”，施工后进行地貌、植被恢复，以植被护土，防止或减轻水土流失。</w:t>
            </w:r>
          </w:p>
          <w:p>
            <w:pPr>
              <w:spacing w:line="240" w:lineRule="auto"/>
              <w:ind w:firstLine="0" w:firstLineChars="0"/>
              <w:jc w:val="left"/>
              <w:rPr>
                <w:rFonts w:cs="Times New Roman"/>
                <w:sz w:val="21"/>
                <w:szCs w:val="21"/>
              </w:rPr>
            </w:pPr>
            <w:r>
              <w:rPr>
                <w:rFonts w:cs="Times New Roman"/>
                <w:sz w:val="21"/>
                <w:szCs w:val="21"/>
              </w:rPr>
              <w:t>对土壤、植被的恢复，遵循破坏多少，恢复多少的原则，同时尽量增加绿化面积，提高项目区绿化率。</w:t>
            </w:r>
          </w:p>
          <w:p>
            <w:pPr>
              <w:spacing w:line="240" w:lineRule="auto"/>
              <w:ind w:firstLine="0" w:firstLineChars="0"/>
              <w:jc w:val="left"/>
              <w:rPr>
                <w:rFonts w:cs="Times New Roman"/>
                <w:sz w:val="21"/>
                <w:szCs w:val="21"/>
              </w:rPr>
            </w:pPr>
            <w:r>
              <w:rPr>
                <w:rFonts w:cs="Times New Roman"/>
                <w:sz w:val="21"/>
                <w:szCs w:val="21"/>
              </w:rPr>
              <w:t>施工区内搞好防护工作，既美化环境，又防止水土流失。</w:t>
            </w:r>
          </w:p>
          <w:p>
            <w:pPr>
              <w:spacing w:line="240" w:lineRule="auto"/>
              <w:ind w:firstLine="0" w:firstLineChars="0"/>
              <w:jc w:val="left"/>
              <w:rPr>
                <w:rFonts w:cs="Times New Roman"/>
                <w:sz w:val="21"/>
                <w:szCs w:val="21"/>
              </w:rPr>
            </w:pPr>
            <w:r>
              <w:rPr>
                <w:rFonts w:cs="Times New Roman"/>
                <w:sz w:val="21"/>
                <w:szCs w:val="21"/>
              </w:rPr>
              <w:t>做好现场施工人员的宣传、教育、管理工作，严禁随意砍伐破坏施工区内外的植被。</w:t>
            </w:r>
          </w:p>
          <w:p>
            <w:pPr>
              <w:spacing w:line="240" w:lineRule="auto"/>
              <w:ind w:firstLine="0" w:firstLineChars="0"/>
              <w:jc w:val="left"/>
              <w:rPr>
                <w:rFonts w:cs="Times New Roman"/>
                <w:sz w:val="21"/>
                <w:szCs w:val="21"/>
              </w:rPr>
            </w:pPr>
            <w:r>
              <w:rPr>
                <w:rFonts w:cs="Times New Roman"/>
                <w:sz w:val="21"/>
                <w:szCs w:val="21"/>
              </w:rPr>
              <w:t>为防比水土流失采取毛石护坡、挡土坎、加固等水土保持工程。</w:t>
            </w:r>
          </w:p>
          <w:p>
            <w:pPr>
              <w:spacing w:line="240" w:lineRule="auto"/>
              <w:ind w:firstLine="0" w:firstLineChars="0"/>
              <w:jc w:val="left"/>
              <w:rPr>
                <w:rFonts w:cs="Times New Roman"/>
                <w:sz w:val="21"/>
                <w:szCs w:val="21"/>
              </w:rPr>
            </w:pPr>
            <w:r>
              <w:rPr>
                <w:rFonts w:cs="Times New Roman"/>
                <w:sz w:val="21"/>
                <w:szCs w:val="21"/>
              </w:rPr>
              <w:t>在施工过程中，尽量减小开挖量，回填应按原有的土层顺序进行，减轻对植被恢复的影响。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8</w:t>
            </w:r>
          </w:p>
        </w:tc>
        <w:tc>
          <w:tcPr>
            <w:tcW w:w="709"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环境管理</w:t>
            </w:r>
          </w:p>
        </w:tc>
        <w:tc>
          <w:tcPr>
            <w:tcW w:w="1134" w:type="dxa"/>
            <w:tcBorders>
              <w:tl2br w:val="nil"/>
              <w:tr2bl w:val="nil"/>
            </w:tcBorders>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6607" w:type="dxa"/>
            <w:tcBorders>
              <w:tl2br w:val="nil"/>
              <w:tr2bl w:val="nil"/>
            </w:tcBorders>
            <w:shd w:val="clear" w:color="auto" w:fill="auto"/>
            <w:vAlign w:val="center"/>
          </w:tcPr>
          <w:p>
            <w:pPr>
              <w:spacing w:line="240" w:lineRule="auto"/>
              <w:ind w:firstLine="0" w:firstLineChars="0"/>
              <w:jc w:val="left"/>
              <w:rPr>
                <w:rFonts w:cs="Times New Roman"/>
                <w:sz w:val="21"/>
                <w:szCs w:val="21"/>
              </w:rPr>
            </w:pPr>
            <w:r>
              <w:rPr>
                <w:rFonts w:cs="Times New Roman"/>
                <w:sz w:val="21"/>
                <w:szCs w:val="21"/>
              </w:rPr>
              <w:t>加强环境管理，按照规定程序进行环保验收。</w:t>
            </w:r>
          </w:p>
        </w:tc>
      </w:tr>
    </w:tbl>
    <w:p>
      <w:pPr>
        <w:pStyle w:val="4"/>
        <w:spacing w:before="163"/>
        <w:rPr>
          <w:rFonts w:cs="Times New Roman" w:eastAsiaTheme="minorEastAsia"/>
        </w:rPr>
      </w:pPr>
      <w:bookmarkStart w:id="238" w:name="_Toc17386527"/>
      <w:bookmarkStart w:id="239" w:name="_Toc500843674"/>
      <w:bookmarkStart w:id="240" w:name="_Toc24704"/>
      <w:r>
        <w:rPr>
          <w:rFonts w:cs="Times New Roman" w:eastAsiaTheme="minorEastAsia"/>
        </w:rPr>
        <w:t>建议</w:t>
      </w:r>
      <w:bookmarkEnd w:id="238"/>
      <w:bookmarkEnd w:id="239"/>
      <w:bookmarkEnd w:id="240"/>
    </w:p>
    <w:p>
      <w:pPr>
        <w:pStyle w:val="11"/>
        <w:spacing w:line="360" w:lineRule="auto"/>
        <w:ind w:firstLine="480" w:firstLineChars="200"/>
        <w:rPr>
          <w:rFonts w:eastAsiaTheme="minorEastAsia"/>
          <w:sz w:val="24"/>
        </w:rPr>
      </w:pPr>
      <w:r>
        <w:rPr>
          <w:rFonts w:hint="eastAsia" w:eastAsiaTheme="minorEastAsia"/>
          <w:sz w:val="24"/>
        </w:rPr>
        <w:t>1、</w:t>
      </w:r>
      <w:r>
        <w:rPr>
          <w:rFonts w:eastAsiaTheme="minorEastAsia"/>
          <w:sz w:val="24"/>
        </w:rPr>
        <w:t>建议采用户外广告、招贴画、广播等形式，大力宣传管道保护法律、法规，使沿线群众熟知和了解管道保护的意义和方法。</w:t>
      </w:r>
    </w:p>
    <w:p>
      <w:pPr>
        <w:widowControl/>
        <w:ind w:firstLine="480"/>
        <w:jc w:val="left"/>
      </w:pPr>
      <w:r>
        <w:rPr>
          <w:rFonts w:hint="eastAsia" w:ascii="宋体" w:hAnsi="宋体" w:eastAsia="宋体" w:cs="宋体"/>
          <w:kern w:val="0"/>
          <w:szCs w:val="24"/>
        </w:rPr>
        <w:t>2、加强施工期及运行期环境管理工作，确保各项环境保护措施及风险防范措施得以落实。</w:t>
      </w:r>
    </w:p>
    <w:p>
      <w:bookmarkStart w:id="241" w:name="_GoBack"/>
      <w:bookmarkEnd w:id="241"/>
    </w:p>
    <w:sectPr>
      <w:footerReference r:id="rId3" w:type="default"/>
      <w:pgSz w:w="11850" w:h="16783"/>
      <w:pgMar w:top="1803" w:right="1440" w:bottom="1803"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sz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lEocc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OSKEs0UZnT68f308/fp1zeCPwDUWj+D3cbCMnTvTIdBD/8en7Hv&#10;rnIq3uiIQA+ojxd4RRcIj07TyXSaQ8WhGx6Inz25W+fDe2EUiUJBHeaXYGWHtQ+96WASs2mzaqRM&#10;M5SatAW9fnuV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Y5RKHHAIAACMEAAAO&#10;AAAAAAAAAAEAIAAAAB8BAABkcnMvZTJvRG9jLnhtbFBLBQYAAAAABgAGAFkBAACtBQ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425B"/>
    <w:multiLevelType w:val="multilevel"/>
    <w:tmpl w:val="5F38425B"/>
    <w:lvl w:ilvl="0" w:tentative="0">
      <w:start w:val="1"/>
      <w:numFmt w:val="decimal"/>
      <w:pStyle w:val="3"/>
      <w:lvlText w:val="第 %1 章 "/>
      <w:lvlJc w:val="left"/>
      <w:pPr>
        <w:ind w:left="420" w:hanging="420"/>
      </w:pPr>
      <w:rPr>
        <w:rFonts w:hint="eastAsia" w:eastAsia="黑体"/>
        <w:b/>
        <w:i w:val="0"/>
        <w:sz w:val="36"/>
      </w:rPr>
    </w:lvl>
    <w:lvl w:ilvl="1" w:tentative="0">
      <w:start w:val="1"/>
      <w:numFmt w:val="decimal"/>
      <w:pStyle w:val="4"/>
      <w:lvlText w:val="%1.%2"/>
      <w:lvlJc w:val="left"/>
      <w:pPr>
        <w:ind w:left="0" w:firstLine="0"/>
      </w:pPr>
      <w:rPr>
        <w:rFonts w:hint="eastAsia"/>
      </w:rPr>
    </w:lvl>
    <w:lvl w:ilvl="2" w:tentative="0">
      <w:start w:val="1"/>
      <w:numFmt w:val="decimal"/>
      <w:pStyle w:val="5"/>
      <w:lvlText w:val="%1.%2.%3"/>
      <w:lvlJc w:val="left"/>
      <w:pPr>
        <w:ind w:left="0" w:firstLine="142"/>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17F5E"/>
    <w:rsid w:val="09A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50" w:afterLines="50"/>
      <w:ind w:left="0" w:firstLine="0" w:firstLineChars="0"/>
      <w:jc w:val="center"/>
      <w:outlineLvl w:val="0"/>
    </w:pPr>
    <w:rPr>
      <w:rFonts w:eastAsia="黑体"/>
      <w:bCs/>
      <w:kern w:val="44"/>
      <w:sz w:val="36"/>
      <w:szCs w:val="44"/>
    </w:rPr>
  </w:style>
  <w:style w:type="paragraph" w:styleId="4">
    <w:name w:val="heading 2"/>
    <w:basedOn w:val="1"/>
    <w:next w:val="1"/>
    <w:unhideWhenUsed/>
    <w:qFormat/>
    <w:uiPriority w:val="0"/>
    <w:pPr>
      <w:keepNext/>
      <w:keepLines/>
      <w:numPr>
        <w:ilvl w:val="1"/>
        <w:numId w:val="1"/>
      </w:numPr>
      <w:spacing w:beforeLines="50"/>
      <w:ind w:firstLineChars="0"/>
      <w:outlineLvl w:val="1"/>
    </w:pPr>
    <w:rPr>
      <w:rFonts w:eastAsia="黑体" w:cstheme="majorBidi"/>
      <w:bCs/>
      <w:sz w:val="30"/>
      <w:szCs w:val="32"/>
    </w:rPr>
  </w:style>
  <w:style w:type="paragraph" w:styleId="5">
    <w:name w:val="heading 3"/>
    <w:basedOn w:val="1"/>
    <w:next w:val="1"/>
    <w:unhideWhenUsed/>
    <w:qFormat/>
    <w:uiPriority w:val="0"/>
    <w:pPr>
      <w:keepNext/>
      <w:keepLines/>
      <w:numPr>
        <w:ilvl w:val="2"/>
        <w:numId w:val="1"/>
      </w:numPr>
      <w:adjustRightInd w:val="0"/>
      <w:snapToGrid w:val="0"/>
      <w:spacing w:before="260" w:after="260" w:line="240" w:lineRule="auto"/>
      <w:ind w:firstLine="0" w:firstLineChars="0"/>
      <w:outlineLvl w:val="2"/>
    </w:pPr>
    <w:rPr>
      <w:rFonts w:eastAsia="黑体" w:cs="Times New Roman"/>
      <w:bCs/>
      <w:sz w:val="28"/>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li_正文"/>
    <w:basedOn w:val="1"/>
    <w:qFormat/>
    <w:uiPriority w:val="99"/>
    <w:pPr>
      <w:tabs>
        <w:tab w:val="left" w:pos="2340"/>
        <w:tab w:val="left" w:pos="4320"/>
      </w:tabs>
      <w:ind w:firstLine="530" w:firstLineChars="200"/>
      <w:jc w:val="left"/>
    </w:pPr>
    <w:rPr>
      <w:sz w:val="28"/>
      <w:szCs w:val="28"/>
    </w:rPr>
  </w:style>
  <w:style w:type="paragraph" w:styleId="6">
    <w:name w:val="Normal Indent"/>
    <w:basedOn w:val="1"/>
    <w:qFormat/>
    <w:uiPriority w:val="0"/>
    <w:pPr>
      <w:spacing w:line="240" w:lineRule="auto"/>
      <w:ind w:firstLine="420"/>
    </w:pPr>
    <w:rPr>
      <w:rFonts w:ascii="宋体" w:hAnsi="宋体" w:eastAsia="仿宋_GB2312" w:cs="宋体"/>
      <w:color w:val="000000"/>
      <w:kern w:val="96"/>
      <w:sz w:val="21"/>
      <w:szCs w:val="24"/>
    </w:rPr>
  </w:style>
  <w:style w:type="paragraph" w:styleId="7">
    <w:name w:val="Body Text"/>
    <w:basedOn w:val="1"/>
    <w:unhideWhenUsed/>
    <w:qFormat/>
    <w:uiPriority w:val="0"/>
    <w:pPr>
      <w:spacing w:after="12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customStyle="1" w:styleId="11">
    <w:name w:val="我的正文"/>
    <w:basedOn w:val="1"/>
    <w:next w:val="12"/>
    <w:qFormat/>
    <w:uiPriority w:val="0"/>
    <w:pPr>
      <w:spacing w:line="240" w:lineRule="auto"/>
      <w:ind w:firstLine="538" w:firstLineChars="192"/>
    </w:pPr>
    <w:rPr>
      <w:rFonts w:eastAsia="宋体" w:cs="Times New Roman"/>
      <w:sz w:val="28"/>
      <w:szCs w:val="24"/>
    </w:rPr>
  </w:style>
  <w:style w:type="paragraph" w:customStyle="1" w:styleId="12">
    <w:name w:val="表提11111"/>
    <w:next w:val="13"/>
    <w:qFormat/>
    <w:uiPriority w:val="0"/>
    <w:pPr>
      <w:widowControl w:val="0"/>
      <w:autoSpaceDE w:val="0"/>
      <w:autoSpaceDN w:val="0"/>
      <w:spacing w:line="360" w:lineRule="auto"/>
      <w:ind w:left="510" w:firstLine="5886"/>
      <w:jc w:val="both"/>
    </w:pPr>
    <w:rPr>
      <w:rFonts w:ascii="Calibri" w:hAnsi="Calibri" w:eastAsia="宋体" w:cs="Times New Roman"/>
      <w:lang w:val="en-US" w:eastAsia="zh-CN" w:bidi="ar-SA"/>
    </w:rPr>
  </w:style>
  <w:style w:type="paragraph" w:customStyle="1" w:styleId="13">
    <w:name w:val="样式 正文缩进 + 宋体 四号 首行缩进:  2 字符 行距: 固定值 22 磅"/>
    <w:basedOn w:val="6"/>
    <w:next w:val="14"/>
    <w:qFormat/>
    <w:uiPriority w:val="0"/>
    <w:pPr>
      <w:spacing w:line="440" w:lineRule="exact"/>
      <w:ind w:firstLine="560"/>
    </w:pPr>
    <w:rPr>
      <w:rFonts w:eastAsia="宋体"/>
      <w:kern w:val="2"/>
      <w:sz w:val="24"/>
      <w:szCs w:val="20"/>
    </w:rPr>
  </w:style>
  <w:style w:type="paragraph" w:customStyle="1" w:styleId="14">
    <w:name w:val="段落文字 Char Char1 Char"/>
    <w:basedOn w:val="1"/>
    <w:next w:val="15"/>
    <w:qFormat/>
    <w:uiPriority w:val="0"/>
    <w:pPr>
      <w:adjustRightInd w:val="0"/>
      <w:snapToGrid w:val="0"/>
      <w:ind w:firstLine="560" w:firstLineChars="0"/>
    </w:pPr>
    <w:rPr>
      <w:rFonts w:ascii="宋体" w:hAnsi="宋体" w:eastAsia="仿宋_GB2312" w:cs="宋体"/>
      <w:color w:val="000000"/>
      <w:sz w:val="28"/>
      <w:szCs w:val="28"/>
    </w:rPr>
  </w:style>
  <w:style w:type="paragraph" w:customStyle="1" w:styleId="15">
    <w:name w:val="五号表格"/>
    <w:next w:val="1"/>
    <w:qFormat/>
    <w:uiPriority w:val="0"/>
    <w:pPr>
      <w:ind w:firstLine="3584"/>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2021-07-01T09:24:00Z</dcterms:created>
  <dc:creator>邵这这</dc:creator>
  <cp:lastModifiedBy>邵这这</cp:lastModifiedBy>
  <dcterms:modified xsi:type="dcterms:W3CDTF">2021-07-01T09:24:12Z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