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63" w:after="163"/>
        <w:rPr>
          <w:rFonts w:cs="Times New Roman" w:eastAsiaTheme="minorEastAsia"/>
        </w:rPr>
      </w:pPr>
      <w:bookmarkStart w:id="0" w:name="_Toc505620805"/>
      <w:bookmarkStart w:id="1" w:name="_Toc17386500"/>
      <w:bookmarkStart w:id="2" w:name="_Toc26737"/>
      <w:r>
        <w:rPr>
          <w:rFonts w:cs="Times New Roman" w:eastAsiaTheme="minorEastAsia"/>
        </w:rPr>
        <w:t>环境管理及监测计划</w:t>
      </w:r>
      <w:bookmarkEnd w:id="0"/>
      <w:bookmarkEnd w:id="1"/>
      <w:bookmarkEnd w:id="2"/>
    </w:p>
    <w:p>
      <w:pPr>
        <w:pStyle w:val="4"/>
        <w:spacing w:before="163"/>
        <w:rPr>
          <w:rFonts w:cs="Times New Roman" w:eastAsiaTheme="minorEastAsia"/>
        </w:rPr>
      </w:pPr>
      <w:bookmarkStart w:id="3" w:name="_Toc500843624"/>
      <w:bookmarkStart w:id="4" w:name="_Toc32357"/>
      <w:bookmarkStart w:id="5" w:name="_Toc17386501"/>
      <w:r>
        <w:rPr>
          <w:rFonts w:cs="Times New Roman" w:eastAsiaTheme="minorEastAsia"/>
        </w:rPr>
        <w:t>环境管理与信息公开</w:t>
      </w:r>
      <w:bookmarkEnd w:id="3"/>
      <w:bookmarkEnd w:id="4"/>
      <w:bookmarkEnd w:id="5"/>
    </w:p>
    <w:p>
      <w:pPr>
        <w:pStyle w:val="5"/>
        <w:rPr>
          <w:rFonts w:eastAsiaTheme="minorEastAsia"/>
        </w:rPr>
      </w:pPr>
      <w:bookmarkStart w:id="6" w:name="_Toc17386502"/>
      <w:bookmarkStart w:id="7" w:name="_Toc500843625"/>
      <w:r>
        <w:rPr>
          <w:rFonts w:eastAsiaTheme="minorEastAsia"/>
        </w:rPr>
        <w:t>环境管理目的</w:t>
      </w:r>
      <w:bookmarkEnd w:id="6"/>
      <w:bookmarkEnd w:id="7"/>
    </w:p>
    <w:p>
      <w:pPr>
        <w:pStyle w:val="10"/>
        <w:spacing w:line="360" w:lineRule="auto"/>
        <w:ind w:firstLine="480" w:firstLineChars="200"/>
        <w:rPr>
          <w:rFonts w:eastAsiaTheme="minorEastAsia"/>
          <w:sz w:val="24"/>
        </w:rPr>
      </w:pPr>
      <w:r>
        <w:rPr>
          <w:rFonts w:eastAsiaTheme="minorEastAsia"/>
          <w:sz w:val="24"/>
        </w:rPr>
        <w:t>按照“三同时”制度的指导思想，在项目完成后，必须加强环境管理和监测计划，使各种污染物的排放达到国家有关排放标准要求，从而提高企业的管理水平和社会环境质量，使企业得以最优化发展。为此，本项目应当成立HSSE小组，负责施工期的环保管理工作。</w:t>
      </w:r>
    </w:p>
    <w:p>
      <w:pPr>
        <w:pStyle w:val="5"/>
        <w:rPr>
          <w:rFonts w:eastAsiaTheme="minorEastAsia"/>
        </w:rPr>
      </w:pPr>
      <w:bookmarkStart w:id="8" w:name="_Toc500843626"/>
      <w:bookmarkStart w:id="9" w:name="_Toc17386503"/>
      <w:r>
        <w:rPr>
          <w:rFonts w:eastAsiaTheme="minorEastAsia"/>
        </w:rPr>
        <w:t>机构设置</w:t>
      </w:r>
      <w:bookmarkEnd w:id="8"/>
      <w:bookmarkEnd w:id="9"/>
    </w:p>
    <w:p>
      <w:pPr>
        <w:pStyle w:val="10"/>
        <w:spacing w:line="360" w:lineRule="auto"/>
        <w:ind w:firstLine="480" w:firstLineChars="200"/>
        <w:rPr>
          <w:rFonts w:eastAsiaTheme="minorEastAsia"/>
          <w:sz w:val="24"/>
        </w:rPr>
      </w:pPr>
      <w:r>
        <w:rPr>
          <w:rFonts w:eastAsiaTheme="minorEastAsia"/>
          <w:sz w:val="24"/>
        </w:rPr>
        <w:t>为加强环境保护工作，本项目环境管理由潍坊</w:t>
      </w:r>
      <w:r>
        <w:rPr>
          <w:rFonts w:hint="eastAsia" w:eastAsiaTheme="minorEastAsia"/>
          <w:sz w:val="24"/>
        </w:rPr>
        <w:t>场站</w:t>
      </w:r>
      <w:r>
        <w:rPr>
          <w:rFonts w:eastAsiaTheme="minorEastAsia"/>
          <w:sz w:val="24"/>
        </w:rPr>
        <w:t>负责，潍坊</w:t>
      </w:r>
      <w:r>
        <w:rPr>
          <w:rFonts w:hint="eastAsia" w:eastAsiaTheme="minorEastAsia"/>
          <w:sz w:val="24"/>
        </w:rPr>
        <w:t>场站</w:t>
      </w:r>
      <w:r>
        <w:rPr>
          <w:rFonts w:eastAsiaTheme="minorEastAsia"/>
          <w:sz w:val="24"/>
        </w:rPr>
        <w:t>下设安全环保科，并设置专职人员负责环境保护工作。负责环境管理、厂内各污染项目监测及监测数据的统计和整理工作，以防止污染事故的发生。</w:t>
      </w:r>
    </w:p>
    <w:p>
      <w:pPr>
        <w:pStyle w:val="5"/>
        <w:rPr>
          <w:rFonts w:eastAsiaTheme="minorEastAsia"/>
        </w:rPr>
      </w:pPr>
      <w:bookmarkStart w:id="10" w:name="_Toc17386504"/>
      <w:bookmarkStart w:id="11" w:name="_Toc500843627"/>
      <w:r>
        <w:rPr>
          <w:rFonts w:eastAsiaTheme="minorEastAsia"/>
        </w:rPr>
        <w:t>机构职责</w:t>
      </w:r>
      <w:bookmarkEnd w:id="10"/>
      <w:bookmarkEnd w:id="11"/>
    </w:p>
    <w:p>
      <w:pPr>
        <w:pStyle w:val="10"/>
        <w:spacing w:line="360" w:lineRule="auto"/>
        <w:ind w:firstLine="480" w:firstLineChars="200"/>
        <w:rPr>
          <w:rFonts w:eastAsiaTheme="minorEastAsia"/>
          <w:sz w:val="24"/>
        </w:rPr>
      </w:pPr>
      <w:r>
        <w:rPr>
          <w:rFonts w:eastAsiaTheme="minorEastAsia"/>
          <w:sz w:val="24"/>
        </w:rPr>
        <w:t>（1）项目施工阶段，保证环保设施的“三同时”的实施及施工现场的环境保护工作；</w:t>
      </w:r>
    </w:p>
    <w:p>
      <w:pPr>
        <w:pStyle w:val="10"/>
        <w:spacing w:line="360" w:lineRule="auto"/>
        <w:ind w:firstLine="480" w:firstLineChars="200"/>
        <w:rPr>
          <w:rFonts w:eastAsiaTheme="minorEastAsia"/>
          <w:sz w:val="24"/>
        </w:rPr>
      </w:pPr>
      <w:r>
        <w:rPr>
          <w:rFonts w:eastAsiaTheme="minorEastAsia"/>
          <w:sz w:val="24"/>
        </w:rPr>
        <w:t>（2）负责制定项目环境保护管理办法、环境保护规章制度、污染事故的防止和应急措施以及生产安全条例，并监督检查这些制度和措施的执行情况；</w:t>
      </w:r>
    </w:p>
    <w:p>
      <w:pPr>
        <w:pStyle w:val="10"/>
        <w:spacing w:line="360" w:lineRule="auto"/>
        <w:ind w:firstLine="480" w:firstLineChars="200"/>
        <w:rPr>
          <w:rFonts w:eastAsiaTheme="minorEastAsia"/>
          <w:sz w:val="24"/>
        </w:rPr>
      </w:pPr>
      <w:r>
        <w:rPr>
          <w:rFonts w:eastAsiaTheme="minorEastAsia"/>
          <w:sz w:val="24"/>
        </w:rPr>
        <w:t>（3）建立环保档案，包括环评报告、环保工程验收报告、污染源监测报告、环保设备及运行记录以及其它环境统计资料；</w:t>
      </w:r>
    </w:p>
    <w:p>
      <w:pPr>
        <w:pStyle w:val="10"/>
        <w:spacing w:line="360" w:lineRule="auto"/>
        <w:ind w:firstLine="480" w:firstLineChars="200"/>
        <w:rPr>
          <w:rFonts w:eastAsiaTheme="minorEastAsia"/>
          <w:sz w:val="24"/>
        </w:rPr>
      </w:pPr>
      <w:r>
        <w:rPr>
          <w:rFonts w:eastAsiaTheme="minorEastAsia"/>
          <w:sz w:val="24"/>
        </w:rPr>
        <w:t>（4）收集与管理有关污染和排放标准、环保法规、环保技术资料；</w:t>
      </w:r>
    </w:p>
    <w:p>
      <w:pPr>
        <w:pStyle w:val="10"/>
        <w:spacing w:line="360" w:lineRule="auto"/>
        <w:ind w:firstLine="480" w:firstLineChars="200"/>
        <w:rPr>
          <w:rFonts w:eastAsiaTheme="minorEastAsia"/>
          <w:sz w:val="24"/>
        </w:rPr>
      </w:pPr>
      <w:r>
        <w:rPr>
          <w:rFonts w:eastAsiaTheme="minorEastAsia"/>
          <w:sz w:val="24"/>
        </w:rPr>
        <w:t>（</w:t>
      </w:r>
      <w:r>
        <w:rPr>
          <w:rFonts w:hint="eastAsia" w:eastAsiaTheme="minorEastAsia"/>
          <w:sz w:val="24"/>
        </w:rPr>
        <w:t>5</w:t>
      </w:r>
      <w:r>
        <w:rPr>
          <w:rFonts w:eastAsiaTheme="minorEastAsia"/>
          <w:sz w:val="24"/>
        </w:rPr>
        <w:t>）直接管理或协调项目的日常环境监测事宜，负责处理解决环境污染和扰民的投诉；</w:t>
      </w:r>
    </w:p>
    <w:p>
      <w:pPr>
        <w:pStyle w:val="10"/>
        <w:spacing w:line="360" w:lineRule="auto"/>
        <w:ind w:firstLine="480" w:firstLineChars="200"/>
        <w:rPr>
          <w:rFonts w:eastAsiaTheme="minorEastAsia"/>
          <w:sz w:val="24"/>
        </w:rPr>
      </w:pPr>
      <w:r>
        <w:rPr>
          <w:rFonts w:eastAsiaTheme="minorEastAsia"/>
          <w:sz w:val="24"/>
        </w:rPr>
        <w:t>（</w:t>
      </w:r>
      <w:r>
        <w:rPr>
          <w:rFonts w:hint="eastAsia" w:eastAsiaTheme="minorEastAsia"/>
          <w:sz w:val="24"/>
        </w:rPr>
        <w:t>6</w:t>
      </w:r>
      <w:r>
        <w:rPr>
          <w:rFonts w:eastAsiaTheme="minorEastAsia"/>
          <w:sz w:val="24"/>
        </w:rPr>
        <w:t>）组织职工的环保教育，搞好环境宣传；</w:t>
      </w:r>
    </w:p>
    <w:p>
      <w:pPr>
        <w:pStyle w:val="10"/>
        <w:spacing w:line="360" w:lineRule="auto"/>
        <w:ind w:firstLine="480" w:firstLineChars="200"/>
        <w:rPr>
          <w:rFonts w:eastAsiaTheme="minorEastAsia"/>
          <w:sz w:val="24"/>
        </w:rPr>
      </w:pPr>
      <w:r>
        <w:rPr>
          <w:rFonts w:eastAsiaTheme="minorEastAsia"/>
          <w:sz w:val="24"/>
        </w:rPr>
        <w:t>（</w:t>
      </w:r>
      <w:r>
        <w:rPr>
          <w:rFonts w:hint="eastAsia" w:eastAsiaTheme="minorEastAsia"/>
          <w:sz w:val="24"/>
        </w:rPr>
        <w:t>7</w:t>
      </w:r>
      <w:r>
        <w:rPr>
          <w:rFonts w:eastAsiaTheme="minorEastAsia"/>
          <w:sz w:val="24"/>
        </w:rPr>
        <w:t>）定期编制企业的环境报表和年度环境保护工作报告，提交给上级和当地环境主管部门。</w:t>
      </w:r>
    </w:p>
    <w:p>
      <w:pPr>
        <w:pStyle w:val="5"/>
        <w:rPr>
          <w:rFonts w:eastAsiaTheme="minorEastAsia"/>
        </w:rPr>
      </w:pPr>
      <w:bookmarkStart w:id="12" w:name="_Toc17386505"/>
      <w:bookmarkStart w:id="13" w:name="_Toc500843628"/>
      <w:r>
        <w:rPr>
          <w:rFonts w:eastAsiaTheme="minorEastAsia"/>
        </w:rPr>
        <w:t>信息公开</w:t>
      </w:r>
      <w:bookmarkEnd w:id="12"/>
      <w:bookmarkEnd w:id="13"/>
    </w:p>
    <w:p>
      <w:pPr>
        <w:pStyle w:val="10"/>
        <w:spacing w:line="360" w:lineRule="auto"/>
        <w:ind w:firstLine="480" w:firstLineChars="200"/>
        <w:rPr>
          <w:rFonts w:eastAsiaTheme="minorEastAsia"/>
          <w:sz w:val="24"/>
        </w:rPr>
      </w:pPr>
      <w:r>
        <w:rPr>
          <w:rFonts w:eastAsiaTheme="minorEastAsia"/>
          <w:sz w:val="24"/>
        </w:rPr>
        <w:t>根据《企业事业单位环境信息公开办法》（环境保护部令第31号），建设单位应当按照强制公开和自愿公开相结合的原则，及时、如实地公开其环境信息。企业事业单位应当建立健全本单位环境信息公开制度，指定机构负责本单位环境信息公开日常工作。</w:t>
      </w:r>
    </w:p>
    <w:p>
      <w:pPr>
        <w:pStyle w:val="4"/>
        <w:spacing w:before="163"/>
        <w:rPr>
          <w:rFonts w:cs="Times New Roman" w:eastAsiaTheme="minorEastAsia"/>
        </w:rPr>
      </w:pPr>
      <w:bookmarkStart w:id="14" w:name="_Toc500843629"/>
      <w:bookmarkStart w:id="15" w:name="_Toc28293"/>
      <w:bookmarkStart w:id="16" w:name="_Toc17386506"/>
      <w:r>
        <w:rPr>
          <w:rFonts w:cs="Times New Roman" w:eastAsiaTheme="minorEastAsia"/>
        </w:rPr>
        <w:t>施工期环境管理</w:t>
      </w:r>
      <w:bookmarkEnd w:id="14"/>
      <w:bookmarkEnd w:id="15"/>
      <w:bookmarkEnd w:id="16"/>
    </w:p>
    <w:p>
      <w:pPr>
        <w:pStyle w:val="5"/>
      </w:pPr>
      <w:r>
        <w:rPr>
          <w:rFonts w:eastAsiaTheme="minorEastAsia"/>
        </w:rPr>
        <w:t>管理体系</w:t>
      </w:r>
    </w:p>
    <w:p>
      <w:pPr>
        <w:pStyle w:val="10"/>
        <w:spacing w:line="360" w:lineRule="auto"/>
        <w:ind w:firstLine="480" w:firstLineChars="200"/>
        <w:rPr>
          <w:rFonts w:eastAsiaTheme="minorEastAsia"/>
          <w:sz w:val="24"/>
        </w:rPr>
      </w:pPr>
      <w:r>
        <w:rPr>
          <w:rFonts w:eastAsiaTheme="minorEastAsia"/>
          <w:sz w:val="24"/>
        </w:rPr>
        <w:t>工程施工管理组成包括建设单位、监理单位、施工单位在内的三级管理体系，并由工程设计单位进行配合。</w:t>
      </w:r>
    </w:p>
    <w:p>
      <w:pPr>
        <w:pStyle w:val="10"/>
        <w:spacing w:line="360" w:lineRule="auto"/>
        <w:ind w:firstLine="480" w:firstLineChars="200"/>
        <w:rPr>
          <w:rFonts w:eastAsiaTheme="minorEastAsia"/>
          <w:sz w:val="24"/>
        </w:rPr>
      </w:pPr>
      <w:r>
        <w:rPr>
          <w:rFonts w:eastAsiaTheme="minorEastAsia"/>
          <w:sz w:val="24"/>
        </w:rPr>
        <w:t>建设单位在工程施工承发包工作中，应将环保工程摆在主体工程同等的地位，环保工程质量、工期及与之相关的施工单位资质、能力都将作为重要的发包条件；及时掌握工程施工环保动态，定期检查和总结工程环保措施实施情况，资金使用情况，确保环保工程的进度要求；建设单位应协调各施工单位关系，消除可能存在环保项目遗漏和缺口，当出现重大环保问题或环境纠纷时，应积极组织力量解决，并协助施工单位处理好地方环境保护部门、公众三废相互利益的关系。</w:t>
      </w:r>
    </w:p>
    <w:p>
      <w:pPr>
        <w:pStyle w:val="10"/>
        <w:spacing w:line="360" w:lineRule="auto"/>
        <w:ind w:firstLine="480" w:firstLineChars="200"/>
        <w:rPr>
          <w:rFonts w:eastAsiaTheme="minorEastAsia"/>
          <w:sz w:val="24"/>
        </w:rPr>
      </w:pPr>
      <w:r>
        <w:rPr>
          <w:rFonts w:eastAsiaTheme="minorEastAsia"/>
          <w:sz w:val="24"/>
        </w:rPr>
        <w:t>监理单位应根据环境影响报告书、环保工程设计文件及施工合同中规定执行的各项环保措施作为监理工作重要内容，对建设项目的各项环保工程进行质量把关，监督施工单位落实施工中采取的各项环保措施。</w:t>
      </w:r>
    </w:p>
    <w:p>
      <w:pPr>
        <w:pStyle w:val="10"/>
        <w:spacing w:line="360" w:lineRule="auto"/>
        <w:ind w:firstLine="480" w:firstLineChars="200"/>
        <w:rPr>
          <w:rFonts w:eastAsiaTheme="minorEastAsia"/>
          <w:sz w:val="24"/>
        </w:rPr>
      </w:pPr>
      <w:r>
        <w:rPr>
          <w:rFonts w:eastAsiaTheme="minorEastAsia"/>
          <w:sz w:val="24"/>
        </w:rPr>
        <w:t>施工单位应加强自身的环境管理，须配备经过相关培训且具备一定能力和资质的专、兼职环保管理人员，并赋予相应的职责和权力。</w:t>
      </w:r>
    </w:p>
    <w:p>
      <w:pPr>
        <w:pStyle w:val="5"/>
        <w:rPr>
          <w:rFonts w:eastAsiaTheme="minorEastAsia"/>
        </w:rPr>
      </w:pPr>
      <w:r>
        <w:rPr>
          <w:rFonts w:eastAsiaTheme="minorEastAsia"/>
        </w:rPr>
        <w:t>监督体系</w:t>
      </w:r>
    </w:p>
    <w:p>
      <w:pPr>
        <w:pStyle w:val="10"/>
        <w:spacing w:line="360" w:lineRule="auto"/>
        <w:ind w:firstLine="480" w:firstLineChars="200"/>
        <w:rPr>
          <w:rFonts w:eastAsiaTheme="minorEastAsia"/>
          <w:sz w:val="24"/>
        </w:rPr>
      </w:pPr>
      <w:r>
        <w:rPr>
          <w:rFonts w:eastAsiaTheme="minorEastAsia"/>
          <w:sz w:val="24"/>
        </w:rPr>
        <w:t>本项目施工期由潍坊市环保局、</w:t>
      </w:r>
      <w:r>
        <w:rPr>
          <w:rFonts w:hint="eastAsia" w:eastAsiaTheme="minorEastAsia"/>
          <w:sz w:val="24"/>
        </w:rPr>
        <w:t>潍城区</w:t>
      </w:r>
      <w:r>
        <w:rPr>
          <w:rFonts w:eastAsiaTheme="minorEastAsia"/>
          <w:sz w:val="24"/>
        </w:rPr>
        <w:t>环保局分级实施监督，同时</w:t>
      </w:r>
      <w:r>
        <w:rPr>
          <w:rFonts w:hint="eastAsia" w:eastAsiaTheme="minorEastAsia"/>
          <w:sz w:val="24"/>
        </w:rPr>
        <w:t>潍城区</w:t>
      </w:r>
      <w:r>
        <w:rPr>
          <w:rFonts w:eastAsiaTheme="minorEastAsia"/>
          <w:sz w:val="24"/>
        </w:rPr>
        <w:t>水利、交通、环卫、银行、审计、司法等部门是监督体系的重要组成部分。</w:t>
      </w:r>
    </w:p>
    <w:p>
      <w:pPr>
        <w:pStyle w:val="5"/>
        <w:rPr>
          <w:rFonts w:eastAsiaTheme="minorEastAsia"/>
        </w:rPr>
      </w:pPr>
      <w:r>
        <w:rPr>
          <w:rFonts w:eastAsiaTheme="minorEastAsia"/>
        </w:rPr>
        <w:t>环境管理</w:t>
      </w:r>
    </w:p>
    <w:p>
      <w:pPr>
        <w:pStyle w:val="10"/>
        <w:spacing w:line="360" w:lineRule="auto"/>
        <w:ind w:firstLine="480" w:firstLineChars="200"/>
        <w:rPr>
          <w:rFonts w:eastAsiaTheme="minorEastAsia"/>
          <w:sz w:val="24"/>
        </w:rPr>
      </w:pPr>
      <w:r>
        <w:rPr>
          <w:rFonts w:eastAsiaTheme="minorEastAsia"/>
          <w:sz w:val="24"/>
        </w:rPr>
        <w:t>建设单位与施工单位签订工程承包合同中，应包括施工期环境保护条款，含施工期间环境污染控制、污染物排放管理、施工人员环保教育及相关奖惩条款。</w:t>
      </w:r>
    </w:p>
    <w:p>
      <w:pPr>
        <w:pStyle w:val="10"/>
        <w:spacing w:line="360" w:lineRule="auto"/>
        <w:ind w:firstLine="480" w:firstLineChars="200"/>
        <w:rPr>
          <w:rFonts w:eastAsiaTheme="minorEastAsia"/>
          <w:sz w:val="24"/>
        </w:rPr>
      </w:pPr>
      <w:r>
        <w:rPr>
          <w:rFonts w:eastAsiaTheme="minorEastAsia"/>
          <w:sz w:val="24"/>
        </w:rPr>
        <w:t>施工单位应加强驻地和施工现场的环境管理，合理安排施工计划，做到组织计划严谨，文明施工；施工现场、驻地及临时设施，应加强环境管理，妥善处置施工“三废”；认真落实各项补偿措施，做好工程各项环保设施的施工监理与验收，保证环保工程质量，做到环保工程“三同时”。</w:t>
      </w:r>
    </w:p>
    <w:p>
      <w:pPr>
        <w:pStyle w:val="4"/>
        <w:spacing w:before="163"/>
        <w:rPr>
          <w:rFonts w:cs="Times New Roman" w:eastAsiaTheme="minorEastAsia"/>
        </w:rPr>
      </w:pPr>
      <w:bookmarkStart w:id="17" w:name="_Toc500843632"/>
      <w:bookmarkStart w:id="18" w:name="_Toc17386509"/>
      <w:bookmarkStart w:id="19" w:name="_Toc27425"/>
      <w:r>
        <w:rPr>
          <w:rFonts w:cs="Times New Roman" w:eastAsiaTheme="minorEastAsia"/>
        </w:rPr>
        <w:t>运营期环境管理</w:t>
      </w:r>
      <w:bookmarkEnd w:id="17"/>
      <w:bookmarkEnd w:id="18"/>
      <w:bookmarkEnd w:id="19"/>
    </w:p>
    <w:p>
      <w:pPr>
        <w:pStyle w:val="5"/>
        <w:rPr>
          <w:rFonts w:eastAsiaTheme="minorEastAsia"/>
        </w:rPr>
      </w:pPr>
      <w:bookmarkStart w:id="20" w:name="_Toc500843633"/>
      <w:bookmarkStart w:id="21" w:name="_Toc17386510"/>
      <w:r>
        <w:rPr>
          <w:rFonts w:eastAsiaTheme="minorEastAsia"/>
        </w:rPr>
        <w:t>环境管理制度</w:t>
      </w:r>
      <w:bookmarkEnd w:id="20"/>
      <w:bookmarkEnd w:id="21"/>
    </w:p>
    <w:p>
      <w:pPr>
        <w:pStyle w:val="10"/>
        <w:spacing w:line="360" w:lineRule="auto"/>
        <w:ind w:firstLine="480" w:firstLineChars="200"/>
        <w:rPr>
          <w:rFonts w:eastAsiaTheme="minorEastAsia"/>
          <w:sz w:val="24"/>
        </w:rPr>
      </w:pPr>
      <w:r>
        <w:rPr>
          <w:rFonts w:eastAsiaTheme="minorEastAsia"/>
          <w:sz w:val="24"/>
        </w:rPr>
        <w:t>项目运营阶段，企业应以相关环保法律、法规为依据，制定环境保护管理办法，通过对项目前后的环境审核，设定环境方针，建立环境目标和指标，设计环境方案，以达到“清洁生产”的良好效果，求得环境长远持久发展。应建立内部环境审核制度、清洁生产教育和培训制度、环境目标和指标制度、内部环境管理监督检查制度。</w:t>
      </w:r>
    </w:p>
    <w:p>
      <w:pPr>
        <w:pStyle w:val="5"/>
        <w:rPr>
          <w:rFonts w:eastAsiaTheme="minorEastAsia"/>
        </w:rPr>
      </w:pPr>
      <w:bookmarkStart w:id="22" w:name="_Toc17386511"/>
      <w:bookmarkStart w:id="23" w:name="_Toc500843634"/>
      <w:r>
        <w:rPr>
          <w:rFonts w:eastAsiaTheme="minorEastAsia"/>
        </w:rPr>
        <w:t>环境管理任务</w:t>
      </w:r>
      <w:bookmarkEnd w:id="22"/>
      <w:bookmarkEnd w:id="23"/>
    </w:p>
    <w:p>
      <w:pPr>
        <w:pStyle w:val="10"/>
        <w:spacing w:line="360" w:lineRule="auto"/>
        <w:ind w:firstLine="480" w:firstLineChars="200"/>
        <w:rPr>
          <w:rFonts w:eastAsiaTheme="minorEastAsia"/>
          <w:sz w:val="24"/>
        </w:rPr>
      </w:pPr>
      <w:r>
        <w:rPr>
          <w:rFonts w:eastAsiaTheme="minorEastAsia"/>
          <w:sz w:val="24"/>
        </w:rPr>
        <w:t>（1）项目进入运营期，应有环保部门、建设单位共同参与验收，检查环保设施是否按“三同时”进行；</w:t>
      </w:r>
    </w:p>
    <w:p>
      <w:pPr>
        <w:pStyle w:val="10"/>
        <w:spacing w:line="360" w:lineRule="auto"/>
        <w:ind w:firstLine="480" w:firstLineChars="200"/>
        <w:rPr>
          <w:rFonts w:eastAsiaTheme="minorEastAsia"/>
          <w:sz w:val="24"/>
        </w:rPr>
      </w:pPr>
      <w:r>
        <w:rPr>
          <w:rFonts w:eastAsiaTheme="minorEastAsia"/>
          <w:sz w:val="24"/>
        </w:rPr>
        <w:t>（2）严格执行各项生产及环境管理制度，保证生产的正常运行；</w:t>
      </w:r>
    </w:p>
    <w:p>
      <w:pPr>
        <w:pStyle w:val="10"/>
        <w:spacing w:line="360" w:lineRule="auto"/>
        <w:ind w:firstLine="480" w:firstLineChars="200"/>
        <w:rPr>
          <w:rFonts w:eastAsiaTheme="minorEastAsia"/>
          <w:sz w:val="24"/>
        </w:rPr>
      </w:pPr>
      <w:r>
        <w:rPr>
          <w:rFonts w:eastAsiaTheme="minorEastAsia"/>
          <w:sz w:val="24"/>
        </w:rPr>
        <w:t>（3）按照监测计划定期组织进行全厂内的污染源监测，对不达标环保措施及时处理；</w:t>
      </w:r>
    </w:p>
    <w:p>
      <w:pPr>
        <w:pStyle w:val="10"/>
        <w:spacing w:line="360" w:lineRule="auto"/>
        <w:ind w:firstLine="480" w:firstLineChars="200"/>
        <w:rPr>
          <w:rFonts w:eastAsiaTheme="minorEastAsia"/>
          <w:sz w:val="24"/>
        </w:rPr>
      </w:pPr>
      <w:r>
        <w:rPr>
          <w:rFonts w:eastAsiaTheme="minorEastAsia"/>
          <w:sz w:val="24"/>
        </w:rPr>
        <w:t>（4）加强环保设施的管理，定期检查环保设施的运行情况，排除故障，保证环保设施正常运转；</w:t>
      </w:r>
    </w:p>
    <w:p>
      <w:pPr>
        <w:pStyle w:val="10"/>
        <w:spacing w:line="360" w:lineRule="auto"/>
        <w:ind w:firstLine="480" w:firstLineChars="200"/>
        <w:rPr>
          <w:rFonts w:eastAsiaTheme="minorEastAsia"/>
          <w:sz w:val="24"/>
        </w:rPr>
      </w:pPr>
      <w:r>
        <w:rPr>
          <w:rFonts w:eastAsiaTheme="minorEastAsia"/>
          <w:sz w:val="24"/>
        </w:rPr>
        <w:t>（5）加强场区的绿化管理，保证绿化面积达标；</w:t>
      </w:r>
    </w:p>
    <w:p>
      <w:pPr>
        <w:pStyle w:val="10"/>
        <w:spacing w:line="360" w:lineRule="auto"/>
        <w:ind w:firstLine="480" w:firstLineChars="200"/>
        <w:rPr>
          <w:rFonts w:eastAsiaTheme="minorEastAsia"/>
          <w:sz w:val="24"/>
        </w:rPr>
      </w:pPr>
      <w:r>
        <w:rPr>
          <w:rFonts w:eastAsiaTheme="minorEastAsia"/>
          <w:sz w:val="24"/>
        </w:rPr>
        <w:t>（6）重视群众监督作用，提高企业职工环保意识，鼓励职工及外部人员对生产状况提出意见，并通过积极吸收宝贵意见，提高企业环境管理水平。</w:t>
      </w:r>
    </w:p>
    <w:p>
      <w:pPr>
        <w:pStyle w:val="5"/>
        <w:rPr>
          <w:rFonts w:eastAsiaTheme="minorEastAsia"/>
        </w:rPr>
      </w:pPr>
      <w:bookmarkStart w:id="24" w:name="_Toc17386512"/>
      <w:bookmarkStart w:id="25" w:name="_Toc500843635"/>
      <w:r>
        <w:rPr>
          <w:rFonts w:eastAsiaTheme="minorEastAsia"/>
        </w:rPr>
        <w:t>环境监测任务</w:t>
      </w:r>
      <w:bookmarkEnd w:id="24"/>
      <w:bookmarkEnd w:id="25"/>
    </w:p>
    <w:p>
      <w:pPr>
        <w:pStyle w:val="10"/>
        <w:spacing w:line="360" w:lineRule="auto"/>
        <w:ind w:firstLine="480" w:firstLineChars="200"/>
        <w:rPr>
          <w:rFonts w:eastAsiaTheme="minorEastAsia"/>
          <w:sz w:val="24"/>
        </w:rPr>
      </w:pPr>
      <w:r>
        <w:rPr>
          <w:rFonts w:eastAsiaTheme="minorEastAsia"/>
          <w:sz w:val="24"/>
        </w:rPr>
        <w:t>（1）定期监测排放污染物是否符合国家或省、市地方规定的排放标准，定期监测可能受本项目影响的环境敏感点是否符合国家制定的环境质量标准。</w:t>
      </w:r>
    </w:p>
    <w:p>
      <w:pPr>
        <w:pStyle w:val="10"/>
        <w:spacing w:line="360" w:lineRule="auto"/>
        <w:ind w:firstLine="480" w:firstLineChars="200"/>
        <w:rPr>
          <w:rFonts w:eastAsiaTheme="minorEastAsia"/>
          <w:sz w:val="24"/>
        </w:rPr>
      </w:pPr>
      <w:r>
        <w:rPr>
          <w:rFonts w:eastAsiaTheme="minorEastAsia"/>
          <w:sz w:val="24"/>
        </w:rPr>
        <w:t>（2）完成监测计划，建立环境监测数据统计档案和填报环境报告。</w:t>
      </w:r>
    </w:p>
    <w:p>
      <w:pPr>
        <w:pStyle w:val="10"/>
        <w:spacing w:line="360" w:lineRule="auto"/>
        <w:ind w:firstLine="480" w:firstLineChars="200"/>
        <w:rPr>
          <w:rFonts w:eastAsiaTheme="minorEastAsia"/>
          <w:sz w:val="24"/>
        </w:rPr>
      </w:pPr>
      <w:r>
        <w:rPr>
          <w:rFonts w:eastAsiaTheme="minorEastAsia"/>
          <w:sz w:val="24"/>
        </w:rPr>
        <w:t>（3）分析所排污染物的变化规律，为改进污染控制措施提供依据。</w:t>
      </w:r>
    </w:p>
    <w:p>
      <w:pPr>
        <w:pStyle w:val="10"/>
        <w:spacing w:line="360" w:lineRule="auto"/>
        <w:ind w:firstLine="480" w:firstLineChars="200"/>
        <w:rPr>
          <w:rFonts w:eastAsiaTheme="minorEastAsia"/>
          <w:sz w:val="24"/>
        </w:rPr>
      </w:pPr>
      <w:r>
        <w:rPr>
          <w:rFonts w:eastAsiaTheme="minorEastAsia"/>
          <w:sz w:val="24"/>
        </w:rPr>
        <w:t>（4）对已有污染物处理设施的运行进行监督，提供运行数据。</w:t>
      </w:r>
    </w:p>
    <w:p>
      <w:pPr>
        <w:pStyle w:val="10"/>
        <w:spacing w:line="360" w:lineRule="auto"/>
        <w:ind w:firstLine="480" w:firstLineChars="200"/>
        <w:rPr>
          <w:rFonts w:eastAsiaTheme="minorEastAsia"/>
          <w:sz w:val="24"/>
        </w:rPr>
      </w:pPr>
      <w:r>
        <w:rPr>
          <w:rFonts w:eastAsiaTheme="minorEastAsia"/>
          <w:sz w:val="24"/>
        </w:rPr>
        <w:t>（5）制定环境保护紧急情况处理措施及预案，负责启动和实施。</w:t>
      </w:r>
    </w:p>
    <w:p>
      <w:pPr>
        <w:pStyle w:val="4"/>
        <w:spacing w:before="163"/>
        <w:rPr>
          <w:rFonts w:cs="Times New Roman" w:eastAsiaTheme="minorEastAsia"/>
        </w:rPr>
      </w:pPr>
      <w:bookmarkStart w:id="26" w:name="_Toc9609"/>
      <w:bookmarkStart w:id="27" w:name="_Toc500843642"/>
      <w:bookmarkStart w:id="28" w:name="_Toc17386514"/>
      <w:r>
        <w:rPr>
          <w:rFonts w:cs="Times New Roman" w:eastAsiaTheme="minorEastAsia"/>
        </w:rPr>
        <w:t>环境监测计划</w:t>
      </w:r>
      <w:bookmarkEnd w:id="26"/>
      <w:bookmarkEnd w:id="27"/>
      <w:bookmarkEnd w:id="28"/>
    </w:p>
    <w:p>
      <w:pPr>
        <w:pStyle w:val="10"/>
        <w:spacing w:line="360" w:lineRule="auto"/>
        <w:ind w:firstLine="480" w:firstLineChars="200"/>
        <w:rPr>
          <w:rFonts w:eastAsiaTheme="minorEastAsia"/>
          <w:sz w:val="24"/>
        </w:rPr>
      </w:pPr>
      <w:r>
        <w:rPr>
          <w:rFonts w:eastAsiaTheme="minorEastAsia"/>
          <w:sz w:val="24"/>
        </w:rPr>
        <w:t>工程建成投产后，正常情况下无污染物排放。</w:t>
      </w:r>
    </w:p>
    <w:p>
      <w:pPr>
        <w:pStyle w:val="10"/>
        <w:spacing w:line="360" w:lineRule="auto"/>
        <w:ind w:firstLine="480" w:firstLineChars="200"/>
        <w:rPr>
          <w:rFonts w:eastAsiaTheme="minorEastAsia"/>
          <w:sz w:val="24"/>
        </w:rPr>
      </w:pPr>
      <w:r>
        <w:rPr>
          <w:rFonts w:eastAsiaTheme="minorEastAsia"/>
          <w:sz w:val="24"/>
        </w:rPr>
        <w:t>由于本工程施工期短，整个施工作业时间约</w:t>
      </w:r>
      <w:r>
        <w:rPr>
          <w:rFonts w:hint="eastAsia" w:eastAsiaTheme="minorEastAsia"/>
          <w:sz w:val="24"/>
        </w:rPr>
        <w:t>5</w:t>
      </w:r>
      <w:r>
        <w:rPr>
          <w:rFonts w:eastAsiaTheme="minorEastAsia"/>
          <w:sz w:val="24"/>
        </w:rPr>
        <w:t>个月内可完工。管道运营后，正常情况下无废水、废气、噪声、固体废物产生。因此，环境监测计划主要针对管道发生</w:t>
      </w:r>
      <w:r>
        <w:rPr>
          <w:rFonts w:hint="eastAsia" w:eastAsiaTheme="minorEastAsia"/>
          <w:sz w:val="24"/>
        </w:rPr>
        <w:t>泄漏</w:t>
      </w:r>
      <w:r>
        <w:rPr>
          <w:rFonts w:eastAsiaTheme="minorEastAsia"/>
          <w:sz w:val="24"/>
        </w:rPr>
        <w:t>事故时，对周围地表水、地下水、大气、土壤等进行事故性监测。</w:t>
      </w:r>
    </w:p>
    <w:p>
      <w:pPr>
        <w:adjustRightInd w:val="0"/>
        <w:snapToGrid w:val="0"/>
        <w:ind w:firstLine="480"/>
        <w:jc w:val="center"/>
        <w:rPr>
          <w:rFonts w:cs="Times New Roman"/>
          <w:szCs w:val="24"/>
        </w:rPr>
      </w:pPr>
      <w:r>
        <w:rPr>
          <w:rFonts w:cs="Times New Roman"/>
          <w:szCs w:val="24"/>
        </w:rPr>
        <w:t>表1</w:t>
      </w:r>
      <w:r>
        <w:rPr>
          <w:rFonts w:hint="eastAsia" w:cs="Times New Roman"/>
          <w:szCs w:val="24"/>
        </w:rPr>
        <w:t>0</w:t>
      </w:r>
      <w:r>
        <w:rPr>
          <w:rFonts w:cs="Times New Roman"/>
          <w:szCs w:val="24"/>
        </w:rPr>
        <w:t>.5-1  运行期环境监测计划</w:t>
      </w:r>
    </w:p>
    <w:tbl>
      <w:tblPr>
        <w:tblStyle w:val="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28" w:type="dxa"/>
          <w:bottom w:w="0" w:type="dxa"/>
          <w:right w:w="28" w:type="dxa"/>
        </w:tblCellMar>
      </w:tblPr>
      <w:tblGrid>
        <w:gridCol w:w="418"/>
        <w:gridCol w:w="1072"/>
        <w:gridCol w:w="2373"/>
        <w:gridCol w:w="1808"/>
        <w:gridCol w:w="1532"/>
        <w:gridCol w:w="11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250" w:type="pct"/>
            <w:tcBorders>
              <w:tl2br w:val="nil"/>
              <w:tr2bl w:val="nil"/>
            </w:tcBorders>
            <w:vAlign w:val="center"/>
          </w:tcPr>
          <w:p>
            <w:pPr>
              <w:pStyle w:val="15"/>
              <w:jc w:val="center"/>
              <w:rPr>
                <w:rFonts w:eastAsiaTheme="minorEastAsia"/>
                <w:sz w:val="21"/>
                <w:szCs w:val="21"/>
              </w:rPr>
            </w:pPr>
            <w:r>
              <w:rPr>
                <w:rFonts w:eastAsiaTheme="minorEastAsia"/>
                <w:sz w:val="21"/>
                <w:szCs w:val="21"/>
              </w:rPr>
              <w:t>序号</w:t>
            </w:r>
          </w:p>
        </w:tc>
        <w:tc>
          <w:tcPr>
            <w:tcW w:w="641" w:type="pct"/>
            <w:tcBorders>
              <w:tl2br w:val="nil"/>
              <w:tr2bl w:val="nil"/>
            </w:tcBorders>
            <w:vAlign w:val="center"/>
          </w:tcPr>
          <w:p>
            <w:pPr>
              <w:pStyle w:val="15"/>
              <w:jc w:val="center"/>
              <w:rPr>
                <w:rFonts w:eastAsiaTheme="minorEastAsia"/>
                <w:sz w:val="21"/>
                <w:szCs w:val="21"/>
              </w:rPr>
            </w:pPr>
            <w:r>
              <w:rPr>
                <w:rFonts w:eastAsiaTheme="minorEastAsia"/>
                <w:sz w:val="21"/>
                <w:szCs w:val="21"/>
              </w:rPr>
              <w:t>监测对象</w:t>
            </w:r>
          </w:p>
        </w:tc>
        <w:tc>
          <w:tcPr>
            <w:tcW w:w="1419" w:type="pct"/>
            <w:tcBorders>
              <w:tl2br w:val="nil"/>
              <w:tr2bl w:val="nil"/>
            </w:tcBorders>
            <w:vAlign w:val="center"/>
          </w:tcPr>
          <w:p>
            <w:pPr>
              <w:pStyle w:val="15"/>
              <w:jc w:val="center"/>
              <w:rPr>
                <w:rFonts w:eastAsiaTheme="minorEastAsia"/>
                <w:sz w:val="21"/>
                <w:szCs w:val="21"/>
              </w:rPr>
            </w:pPr>
            <w:r>
              <w:rPr>
                <w:rFonts w:eastAsiaTheme="minorEastAsia"/>
                <w:sz w:val="21"/>
                <w:szCs w:val="21"/>
              </w:rPr>
              <w:t>监测点位</w:t>
            </w:r>
          </w:p>
        </w:tc>
        <w:tc>
          <w:tcPr>
            <w:tcW w:w="1081" w:type="pct"/>
            <w:tcBorders>
              <w:tl2br w:val="nil"/>
              <w:tr2bl w:val="nil"/>
            </w:tcBorders>
            <w:vAlign w:val="center"/>
          </w:tcPr>
          <w:p>
            <w:pPr>
              <w:pStyle w:val="15"/>
              <w:jc w:val="center"/>
              <w:rPr>
                <w:rFonts w:eastAsiaTheme="minorEastAsia"/>
                <w:sz w:val="21"/>
                <w:szCs w:val="21"/>
              </w:rPr>
            </w:pPr>
            <w:r>
              <w:rPr>
                <w:rFonts w:eastAsiaTheme="minorEastAsia"/>
                <w:sz w:val="21"/>
                <w:szCs w:val="21"/>
              </w:rPr>
              <w:t>监测因子</w:t>
            </w:r>
          </w:p>
        </w:tc>
        <w:tc>
          <w:tcPr>
            <w:tcW w:w="916" w:type="pct"/>
            <w:tcBorders>
              <w:tl2br w:val="nil"/>
              <w:tr2bl w:val="nil"/>
            </w:tcBorders>
            <w:vAlign w:val="center"/>
          </w:tcPr>
          <w:p>
            <w:pPr>
              <w:pStyle w:val="15"/>
              <w:jc w:val="center"/>
              <w:rPr>
                <w:rFonts w:eastAsiaTheme="minorEastAsia"/>
                <w:sz w:val="21"/>
                <w:szCs w:val="21"/>
              </w:rPr>
            </w:pPr>
            <w:r>
              <w:rPr>
                <w:rFonts w:eastAsiaTheme="minorEastAsia"/>
                <w:sz w:val="21"/>
                <w:szCs w:val="21"/>
              </w:rPr>
              <w:t>监测频率</w:t>
            </w:r>
          </w:p>
        </w:tc>
        <w:tc>
          <w:tcPr>
            <w:tcW w:w="693" w:type="pct"/>
            <w:tcBorders>
              <w:tl2br w:val="nil"/>
              <w:tr2bl w:val="nil"/>
            </w:tcBorders>
            <w:vAlign w:val="center"/>
          </w:tcPr>
          <w:p>
            <w:pPr>
              <w:pStyle w:val="15"/>
              <w:jc w:val="center"/>
              <w:rPr>
                <w:rFonts w:eastAsiaTheme="minorEastAsia"/>
                <w:sz w:val="21"/>
                <w:szCs w:val="21"/>
              </w:rPr>
            </w:pPr>
            <w:r>
              <w:rPr>
                <w:rFonts w:eastAsiaTheme="minorEastAsia"/>
                <w:sz w:val="21"/>
                <w:szCs w:val="21"/>
              </w:rPr>
              <w:t>控制目标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250" w:type="pct"/>
            <w:tcBorders>
              <w:tl2br w:val="nil"/>
              <w:tr2bl w:val="nil"/>
            </w:tcBorders>
            <w:vAlign w:val="center"/>
          </w:tcPr>
          <w:p>
            <w:pPr>
              <w:pStyle w:val="15"/>
              <w:jc w:val="center"/>
              <w:rPr>
                <w:rFonts w:eastAsiaTheme="minorEastAsia"/>
                <w:sz w:val="21"/>
                <w:szCs w:val="21"/>
              </w:rPr>
            </w:pPr>
            <w:r>
              <w:rPr>
                <w:rFonts w:eastAsiaTheme="minorEastAsia"/>
                <w:sz w:val="21"/>
                <w:szCs w:val="21"/>
              </w:rPr>
              <w:t>1</w:t>
            </w:r>
          </w:p>
        </w:tc>
        <w:tc>
          <w:tcPr>
            <w:tcW w:w="641" w:type="pct"/>
            <w:tcBorders>
              <w:tl2br w:val="nil"/>
              <w:tr2bl w:val="nil"/>
            </w:tcBorders>
            <w:vAlign w:val="center"/>
          </w:tcPr>
          <w:p>
            <w:pPr>
              <w:pStyle w:val="15"/>
              <w:jc w:val="center"/>
              <w:rPr>
                <w:rFonts w:eastAsiaTheme="minorEastAsia"/>
                <w:sz w:val="21"/>
                <w:szCs w:val="21"/>
              </w:rPr>
            </w:pPr>
            <w:r>
              <w:rPr>
                <w:rFonts w:eastAsiaTheme="minorEastAsia"/>
                <w:sz w:val="21"/>
                <w:szCs w:val="21"/>
              </w:rPr>
              <w:t>环境空气</w:t>
            </w:r>
          </w:p>
        </w:tc>
        <w:tc>
          <w:tcPr>
            <w:tcW w:w="1419" w:type="pct"/>
            <w:tcBorders>
              <w:tl2br w:val="nil"/>
              <w:tr2bl w:val="nil"/>
            </w:tcBorders>
            <w:vAlign w:val="center"/>
          </w:tcPr>
          <w:p>
            <w:pPr>
              <w:pStyle w:val="15"/>
              <w:jc w:val="center"/>
              <w:rPr>
                <w:rFonts w:eastAsiaTheme="minorEastAsia"/>
                <w:sz w:val="21"/>
                <w:szCs w:val="21"/>
                <w:lang w:eastAsia="zh-CN"/>
              </w:rPr>
            </w:pPr>
            <w:r>
              <w:rPr>
                <w:rFonts w:eastAsiaTheme="minorEastAsia"/>
                <w:sz w:val="21"/>
                <w:szCs w:val="21"/>
                <w:lang w:eastAsia="zh-CN"/>
              </w:rPr>
              <w:t>事故处上、下风向等2～3个监测点</w:t>
            </w:r>
          </w:p>
        </w:tc>
        <w:tc>
          <w:tcPr>
            <w:tcW w:w="1081" w:type="pct"/>
            <w:tcBorders>
              <w:tl2br w:val="nil"/>
              <w:tr2bl w:val="nil"/>
            </w:tcBorders>
            <w:vAlign w:val="center"/>
          </w:tcPr>
          <w:p>
            <w:pPr>
              <w:pStyle w:val="15"/>
              <w:jc w:val="center"/>
              <w:rPr>
                <w:rFonts w:eastAsiaTheme="minorEastAsia"/>
                <w:sz w:val="21"/>
                <w:szCs w:val="21"/>
              </w:rPr>
            </w:pPr>
            <w:r>
              <w:rPr>
                <w:rFonts w:eastAsiaTheme="minorEastAsia"/>
                <w:sz w:val="21"/>
                <w:szCs w:val="21"/>
              </w:rPr>
              <w:t>NO</w:t>
            </w:r>
            <w:r>
              <w:rPr>
                <w:rFonts w:eastAsiaTheme="minorEastAsia"/>
                <w:sz w:val="21"/>
                <w:szCs w:val="21"/>
                <w:vertAlign w:val="subscript"/>
              </w:rPr>
              <w:t>2</w:t>
            </w:r>
            <w:r>
              <w:rPr>
                <w:rFonts w:eastAsiaTheme="minorEastAsia"/>
                <w:sz w:val="21"/>
                <w:szCs w:val="21"/>
              </w:rPr>
              <w:t>、SO</w:t>
            </w:r>
            <w:r>
              <w:rPr>
                <w:rFonts w:eastAsiaTheme="minorEastAsia"/>
                <w:sz w:val="21"/>
                <w:szCs w:val="21"/>
                <w:vertAlign w:val="subscript"/>
              </w:rPr>
              <w:t>2</w:t>
            </w:r>
            <w:r>
              <w:rPr>
                <w:rFonts w:eastAsiaTheme="minorEastAsia"/>
                <w:sz w:val="21"/>
                <w:szCs w:val="21"/>
              </w:rPr>
              <w:t>、非甲烷总烃</w:t>
            </w:r>
          </w:p>
        </w:tc>
        <w:tc>
          <w:tcPr>
            <w:tcW w:w="916" w:type="pct"/>
            <w:tcBorders>
              <w:tl2br w:val="nil"/>
              <w:tr2bl w:val="nil"/>
            </w:tcBorders>
            <w:vAlign w:val="center"/>
          </w:tcPr>
          <w:p>
            <w:pPr>
              <w:pStyle w:val="15"/>
              <w:jc w:val="center"/>
              <w:rPr>
                <w:rFonts w:eastAsiaTheme="minorEastAsia"/>
                <w:sz w:val="21"/>
                <w:szCs w:val="21"/>
              </w:rPr>
            </w:pPr>
            <w:r>
              <w:rPr>
                <w:rFonts w:eastAsiaTheme="minorEastAsia"/>
                <w:sz w:val="21"/>
                <w:szCs w:val="21"/>
              </w:rPr>
              <w:t>事故处理前后</w:t>
            </w:r>
          </w:p>
        </w:tc>
        <w:tc>
          <w:tcPr>
            <w:tcW w:w="693" w:type="pct"/>
            <w:tcBorders>
              <w:tl2br w:val="nil"/>
              <w:tr2bl w:val="nil"/>
            </w:tcBorders>
            <w:vAlign w:val="center"/>
          </w:tcPr>
          <w:p>
            <w:pPr>
              <w:pStyle w:val="15"/>
              <w:jc w:val="center"/>
              <w:rPr>
                <w:rFonts w:eastAsiaTheme="minorEastAsia"/>
                <w:sz w:val="21"/>
                <w:szCs w:val="21"/>
              </w:rPr>
            </w:pPr>
            <w:r>
              <w:rPr>
                <w:rFonts w:eastAsiaTheme="minorEastAsia"/>
                <w:sz w:val="21"/>
                <w:szCs w:val="21"/>
              </w:rPr>
              <w:t>污染消除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250" w:type="pct"/>
            <w:tcBorders>
              <w:tl2br w:val="nil"/>
              <w:tr2bl w:val="nil"/>
            </w:tcBorders>
            <w:vAlign w:val="center"/>
          </w:tcPr>
          <w:p>
            <w:pPr>
              <w:pStyle w:val="15"/>
              <w:jc w:val="center"/>
              <w:rPr>
                <w:rFonts w:eastAsiaTheme="minorEastAsia"/>
                <w:sz w:val="21"/>
                <w:szCs w:val="21"/>
              </w:rPr>
            </w:pPr>
            <w:r>
              <w:rPr>
                <w:rFonts w:eastAsiaTheme="minorEastAsia"/>
                <w:sz w:val="21"/>
                <w:szCs w:val="21"/>
              </w:rPr>
              <w:t>2</w:t>
            </w:r>
          </w:p>
        </w:tc>
        <w:tc>
          <w:tcPr>
            <w:tcW w:w="641" w:type="pct"/>
            <w:tcBorders>
              <w:tl2br w:val="nil"/>
              <w:tr2bl w:val="nil"/>
            </w:tcBorders>
            <w:vAlign w:val="center"/>
          </w:tcPr>
          <w:p>
            <w:pPr>
              <w:pStyle w:val="15"/>
              <w:jc w:val="center"/>
              <w:rPr>
                <w:rFonts w:eastAsiaTheme="minorEastAsia"/>
                <w:sz w:val="21"/>
                <w:szCs w:val="21"/>
              </w:rPr>
            </w:pPr>
            <w:r>
              <w:rPr>
                <w:rFonts w:eastAsiaTheme="minorEastAsia"/>
                <w:sz w:val="21"/>
                <w:szCs w:val="21"/>
              </w:rPr>
              <w:t>土壤</w:t>
            </w:r>
          </w:p>
        </w:tc>
        <w:tc>
          <w:tcPr>
            <w:tcW w:w="1419" w:type="pct"/>
            <w:tcBorders>
              <w:tl2br w:val="nil"/>
              <w:tr2bl w:val="nil"/>
            </w:tcBorders>
            <w:vAlign w:val="center"/>
          </w:tcPr>
          <w:p>
            <w:pPr>
              <w:pStyle w:val="15"/>
              <w:jc w:val="center"/>
              <w:rPr>
                <w:rFonts w:eastAsiaTheme="minorEastAsia"/>
                <w:sz w:val="21"/>
                <w:szCs w:val="21"/>
              </w:rPr>
            </w:pPr>
            <w:r>
              <w:rPr>
                <w:rFonts w:eastAsiaTheme="minorEastAsia"/>
                <w:sz w:val="21"/>
                <w:szCs w:val="21"/>
              </w:rPr>
              <w:t>事故处农田区域</w:t>
            </w:r>
          </w:p>
        </w:tc>
        <w:tc>
          <w:tcPr>
            <w:tcW w:w="1081" w:type="pct"/>
            <w:tcBorders>
              <w:tl2br w:val="nil"/>
              <w:tr2bl w:val="nil"/>
            </w:tcBorders>
            <w:vAlign w:val="center"/>
          </w:tcPr>
          <w:p>
            <w:pPr>
              <w:pStyle w:val="15"/>
              <w:jc w:val="center"/>
              <w:rPr>
                <w:rFonts w:eastAsiaTheme="minorEastAsia"/>
                <w:sz w:val="21"/>
                <w:szCs w:val="21"/>
              </w:rPr>
            </w:pPr>
            <w:r>
              <w:rPr>
                <w:rFonts w:eastAsiaTheme="minorEastAsia"/>
                <w:sz w:val="21"/>
                <w:szCs w:val="21"/>
              </w:rPr>
              <w:t>石油类</w:t>
            </w:r>
          </w:p>
        </w:tc>
        <w:tc>
          <w:tcPr>
            <w:tcW w:w="916" w:type="pct"/>
            <w:tcBorders>
              <w:tl2br w:val="nil"/>
              <w:tr2bl w:val="nil"/>
            </w:tcBorders>
            <w:vAlign w:val="center"/>
          </w:tcPr>
          <w:p>
            <w:pPr>
              <w:pStyle w:val="15"/>
              <w:jc w:val="center"/>
              <w:rPr>
                <w:rFonts w:eastAsiaTheme="minorEastAsia"/>
                <w:sz w:val="21"/>
                <w:szCs w:val="21"/>
              </w:rPr>
            </w:pPr>
            <w:r>
              <w:rPr>
                <w:rFonts w:eastAsiaTheme="minorEastAsia"/>
                <w:sz w:val="21"/>
                <w:szCs w:val="21"/>
              </w:rPr>
              <w:t>事故处理前后</w:t>
            </w:r>
          </w:p>
        </w:tc>
        <w:tc>
          <w:tcPr>
            <w:tcW w:w="693" w:type="pct"/>
            <w:tcBorders>
              <w:tl2br w:val="nil"/>
              <w:tr2bl w:val="nil"/>
            </w:tcBorders>
            <w:vAlign w:val="center"/>
          </w:tcPr>
          <w:p>
            <w:pPr>
              <w:pStyle w:val="15"/>
              <w:jc w:val="center"/>
              <w:rPr>
                <w:rFonts w:eastAsiaTheme="minorEastAsia"/>
                <w:sz w:val="21"/>
                <w:szCs w:val="21"/>
              </w:rPr>
            </w:pPr>
            <w:r>
              <w:rPr>
                <w:rFonts w:eastAsiaTheme="minorEastAsia"/>
                <w:sz w:val="21"/>
                <w:szCs w:val="21"/>
              </w:rPr>
              <w:t>污染消除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250" w:type="pct"/>
            <w:tcBorders>
              <w:tl2br w:val="nil"/>
              <w:tr2bl w:val="nil"/>
            </w:tcBorders>
            <w:vAlign w:val="center"/>
          </w:tcPr>
          <w:p>
            <w:pPr>
              <w:pStyle w:val="15"/>
              <w:jc w:val="center"/>
              <w:rPr>
                <w:rFonts w:eastAsiaTheme="minorEastAsia"/>
                <w:sz w:val="21"/>
                <w:szCs w:val="21"/>
              </w:rPr>
            </w:pPr>
            <w:r>
              <w:rPr>
                <w:rFonts w:eastAsiaTheme="minorEastAsia"/>
                <w:sz w:val="21"/>
                <w:szCs w:val="21"/>
              </w:rPr>
              <w:t>3</w:t>
            </w:r>
          </w:p>
        </w:tc>
        <w:tc>
          <w:tcPr>
            <w:tcW w:w="641" w:type="pct"/>
            <w:tcBorders>
              <w:tl2br w:val="nil"/>
              <w:tr2bl w:val="nil"/>
            </w:tcBorders>
            <w:vAlign w:val="center"/>
          </w:tcPr>
          <w:p>
            <w:pPr>
              <w:pStyle w:val="15"/>
              <w:jc w:val="center"/>
              <w:rPr>
                <w:rFonts w:eastAsiaTheme="minorEastAsia"/>
                <w:sz w:val="21"/>
                <w:szCs w:val="21"/>
              </w:rPr>
            </w:pPr>
            <w:r>
              <w:rPr>
                <w:rFonts w:eastAsiaTheme="minorEastAsia"/>
                <w:sz w:val="21"/>
                <w:szCs w:val="21"/>
              </w:rPr>
              <w:t>地表水</w:t>
            </w:r>
          </w:p>
        </w:tc>
        <w:tc>
          <w:tcPr>
            <w:tcW w:w="1419" w:type="pct"/>
            <w:tcBorders>
              <w:tl2br w:val="nil"/>
              <w:tr2bl w:val="nil"/>
            </w:tcBorders>
            <w:vAlign w:val="center"/>
          </w:tcPr>
          <w:p>
            <w:pPr>
              <w:pStyle w:val="15"/>
              <w:jc w:val="center"/>
              <w:rPr>
                <w:rFonts w:eastAsiaTheme="minorEastAsia"/>
                <w:sz w:val="21"/>
                <w:szCs w:val="21"/>
                <w:lang w:eastAsia="zh-CN"/>
              </w:rPr>
            </w:pPr>
            <w:r>
              <w:rPr>
                <w:rFonts w:hint="eastAsia" w:eastAsiaTheme="minorEastAsia"/>
                <w:sz w:val="21"/>
                <w:szCs w:val="21"/>
                <w:lang w:eastAsia="zh-CN"/>
              </w:rPr>
              <w:t>消防废水</w:t>
            </w:r>
            <w:r>
              <w:rPr>
                <w:rFonts w:eastAsiaTheme="minorEastAsia"/>
                <w:sz w:val="21"/>
                <w:szCs w:val="21"/>
                <w:lang w:eastAsia="zh-CN"/>
              </w:rPr>
              <w:t>进入河流处及上游100m、下游500m</w:t>
            </w:r>
          </w:p>
        </w:tc>
        <w:tc>
          <w:tcPr>
            <w:tcW w:w="1081" w:type="pct"/>
            <w:tcBorders>
              <w:tl2br w:val="nil"/>
              <w:tr2bl w:val="nil"/>
            </w:tcBorders>
            <w:vAlign w:val="center"/>
          </w:tcPr>
          <w:p>
            <w:pPr>
              <w:pStyle w:val="15"/>
              <w:jc w:val="center"/>
              <w:rPr>
                <w:rFonts w:eastAsiaTheme="minorEastAsia"/>
                <w:sz w:val="21"/>
                <w:szCs w:val="21"/>
              </w:rPr>
            </w:pPr>
            <w:r>
              <w:rPr>
                <w:rFonts w:eastAsiaTheme="minorEastAsia"/>
                <w:sz w:val="21"/>
                <w:szCs w:val="21"/>
              </w:rPr>
              <w:t>石油类</w:t>
            </w:r>
          </w:p>
        </w:tc>
        <w:tc>
          <w:tcPr>
            <w:tcW w:w="916" w:type="pct"/>
            <w:tcBorders>
              <w:tl2br w:val="nil"/>
              <w:tr2bl w:val="nil"/>
            </w:tcBorders>
            <w:vAlign w:val="center"/>
          </w:tcPr>
          <w:p>
            <w:pPr>
              <w:pStyle w:val="15"/>
              <w:jc w:val="center"/>
              <w:rPr>
                <w:rFonts w:eastAsiaTheme="minorEastAsia"/>
                <w:sz w:val="21"/>
                <w:szCs w:val="21"/>
              </w:rPr>
            </w:pPr>
            <w:r>
              <w:rPr>
                <w:rFonts w:eastAsiaTheme="minorEastAsia"/>
                <w:sz w:val="21"/>
                <w:szCs w:val="21"/>
              </w:rPr>
              <w:t>事故处理前后</w:t>
            </w:r>
          </w:p>
        </w:tc>
        <w:tc>
          <w:tcPr>
            <w:tcW w:w="693" w:type="pct"/>
            <w:tcBorders>
              <w:tl2br w:val="nil"/>
              <w:tr2bl w:val="nil"/>
            </w:tcBorders>
            <w:vAlign w:val="center"/>
          </w:tcPr>
          <w:p>
            <w:pPr>
              <w:pStyle w:val="15"/>
              <w:jc w:val="center"/>
              <w:rPr>
                <w:rFonts w:eastAsiaTheme="minorEastAsia"/>
                <w:sz w:val="21"/>
                <w:szCs w:val="21"/>
              </w:rPr>
            </w:pPr>
            <w:r>
              <w:rPr>
                <w:rFonts w:eastAsiaTheme="minorEastAsia"/>
                <w:sz w:val="21"/>
                <w:szCs w:val="21"/>
              </w:rPr>
              <w:t>污染消除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250" w:type="pct"/>
            <w:tcBorders>
              <w:tl2br w:val="nil"/>
              <w:tr2bl w:val="nil"/>
            </w:tcBorders>
            <w:vAlign w:val="center"/>
          </w:tcPr>
          <w:p>
            <w:pPr>
              <w:pStyle w:val="15"/>
              <w:jc w:val="center"/>
              <w:rPr>
                <w:rFonts w:eastAsiaTheme="minorEastAsia"/>
                <w:sz w:val="21"/>
                <w:szCs w:val="21"/>
              </w:rPr>
            </w:pPr>
            <w:r>
              <w:rPr>
                <w:rFonts w:eastAsiaTheme="minorEastAsia"/>
                <w:sz w:val="21"/>
                <w:szCs w:val="21"/>
              </w:rPr>
              <w:t>4</w:t>
            </w:r>
          </w:p>
        </w:tc>
        <w:tc>
          <w:tcPr>
            <w:tcW w:w="641" w:type="pct"/>
            <w:tcBorders>
              <w:tl2br w:val="nil"/>
              <w:tr2bl w:val="nil"/>
            </w:tcBorders>
            <w:vAlign w:val="center"/>
          </w:tcPr>
          <w:p>
            <w:pPr>
              <w:pStyle w:val="15"/>
              <w:jc w:val="center"/>
              <w:rPr>
                <w:rFonts w:eastAsiaTheme="minorEastAsia"/>
                <w:sz w:val="21"/>
                <w:szCs w:val="21"/>
              </w:rPr>
            </w:pPr>
            <w:r>
              <w:rPr>
                <w:rFonts w:eastAsiaTheme="minorEastAsia"/>
                <w:sz w:val="21"/>
                <w:szCs w:val="21"/>
              </w:rPr>
              <w:t>地下水</w:t>
            </w:r>
          </w:p>
        </w:tc>
        <w:tc>
          <w:tcPr>
            <w:tcW w:w="1419" w:type="pct"/>
            <w:tcBorders>
              <w:tl2br w:val="nil"/>
              <w:tr2bl w:val="nil"/>
            </w:tcBorders>
            <w:vAlign w:val="center"/>
          </w:tcPr>
          <w:p>
            <w:pPr>
              <w:pStyle w:val="15"/>
              <w:jc w:val="center"/>
              <w:rPr>
                <w:rFonts w:eastAsiaTheme="minorEastAsia"/>
                <w:sz w:val="21"/>
                <w:szCs w:val="21"/>
                <w:lang w:eastAsia="zh-CN"/>
              </w:rPr>
            </w:pPr>
            <w:r>
              <w:rPr>
                <w:rFonts w:eastAsiaTheme="minorEastAsia"/>
                <w:sz w:val="21"/>
                <w:szCs w:val="21"/>
                <w:lang w:eastAsia="zh-CN"/>
              </w:rPr>
              <w:t>管道周围及地下水流向下游</w:t>
            </w:r>
          </w:p>
        </w:tc>
        <w:tc>
          <w:tcPr>
            <w:tcW w:w="1081" w:type="pct"/>
            <w:tcBorders>
              <w:tl2br w:val="nil"/>
              <w:tr2bl w:val="nil"/>
            </w:tcBorders>
            <w:vAlign w:val="center"/>
          </w:tcPr>
          <w:p>
            <w:pPr>
              <w:pStyle w:val="15"/>
              <w:jc w:val="center"/>
              <w:rPr>
                <w:rFonts w:eastAsiaTheme="minorEastAsia"/>
                <w:sz w:val="21"/>
                <w:szCs w:val="21"/>
              </w:rPr>
            </w:pPr>
            <w:r>
              <w:rPr>
                <w:rFonts w:eastAsiaTheme="minorEastAsia"/>
                <w:sz w:val="21"/>
                <w:szCs w:val="21"/>
              </w:rPr>
              <w:t>石油类</w:t>
            </w:r>
          </w:p>
        </w:tc>
        <w:tc>
          <w:tcPr>
            <w:tcW w:w="916" w:type="pct"/>
            <w:tcBorders>
              <w:tl2br w:val="nil"/>
              <w:tr2bl w:val="nil"/>
            </w:tcBorders>
            <w:vAlign w:val="center"/>
          </w:tcPr>
          <w:p>
            <w:pPr>
              <w:pStyle w:val="15"/>
              <w:jc w:val="center"/>
              <w:rPr>
                <w:rFonts w:eastAsiaTheme="minorEastAsia"/>
                <w:sz w:val="21"/>
                <w:szCs w:val="21"/>
              </w:rPr>
            </w:pPr>
            <w:r>
              <w:rPr>
                <w:rFonts w:eastAsiaTheme="minorEastAsia"/>
                <w:sz w:val="21"/>
                <w:szCs w:val="21"/>
              </w:rPr>
              <w:t>事故处理前后</w:t>
            </w:r>
          </w:p>
        </w:tc>
        <w:tc>
          <w:tcPr>
            <w:tcW w:w="693" w:type="pct"/>
            <w:tcBorders>
              <w:tl2br w:val="nil"/>
              <w:tr2bl w:val="nil"/>
            </w:tcBorders>
            <w:vAlign w:val="center"/>
          </w:tcPr>
          <w:p>
            <w:pPr>
              <w:pStyle w:val="15"/>
              <w:jc w:val="center"/>
              <w:rPr>
                <w:rFonts w:eastAsiaTheme="minorEastAsia"/>
                <w:sz w:val="21"/>
                <w:szCs w:val="21"/>
              </w:rPr>
            </w:pPr>
            <w:r>
              <w:rPr>
                <w:rFonts w:eastAsiaTheme="minorEastAsia"/>
                <w:sz w:val="21"/>
                <w:szCs w:val="21"/>
              </w:rPr>
              <w:t>污染消除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250" w:type="pct"/>
            <w:tcBorders>
              <w:tl2br w:val="nil"/>
              <w:tr2bl w:val="nil"/>
            </w:tcBorders>
            <w:vAlign w:val="center"/>
          </w:tcPr>
          <w:p>
            <w:pPr>
              <w:pStyle w:val="15"/>
              <w:jc w:val="center"/>
              <w:rPr>
                <w:rFonts w:eastAsiaTheme="minorEastAsia"/>
                <w:sz w:val="21"/>
                <w:szCs w:val="21"/>
              </w:rPr>
            </w:pPr>
            <w:r>
              <w:rPr>
                <w:rFonts w:eastAsiaTheme="minorEastAsia"/>
                <w:sz w:val="21"/>
                <w:szCs w:val="21"/>
              </w:rPr>
              <w:t>5</w:t>
            </w:r>
          </w:p>
        </w:tc>
        <w:tc>
          <w:tcPr>
            <w:tcW w:w="641" w:type="pct"/>
            <w:tcBorders>
              <w:tl2br w:val="nil"/>
              <w:tr2bl w:val="nil"/>
            </w:tcBorders>
            <w:vAlign w:val="center"/>
          </w:tcPr>
          <w:p>
            <w:pPr>
              <w:pStyle w:val="15"/>
              <w:jc w:val="center"/>
              <w:rPr>
                <w:rFonts w:eastAsiaTheme="minorEastAsia"/>
                <w:sz w:val="21"/>
                <w:szCs w:val="21"/>
              </w:rPr>
            </w:pPr>
            <w:r>
              <w:rPr>
                <w:rFonts w:eastAsiaTheme="minorEastAsia"/>
                <w:sz w:val="21"/>
                <w:szCs w:val="21"/>
              </w:rPr>
              <w:t>环境管理</w:t>
            </w:r>
          </w:p>
        </w:tc>
        <w:tc>
          <w:tcPr>
            <w:tcW w:w="1419" w:type="pct"/>
            <w:tcBorders>
              <w:tl2br w:val="nil"/>
              <w:tr2bl w:val="nil"/>
            </w:tcBorders>
            <w:vAlign w:val="center"/>
          </w:tcPr>
          <w:p>
            <w:pPr>
              <w:pStyle w:val="15"/>
              <w:jc w:val="center"/>
              <w:rPr>
                <w:rFonts w:eastAsiaTheme="minorEastAsia"/>
                <w:sz w:val="21"/>
                <w:szCs w:val="21"/>
              </w:rPr>
            </w:pPr>
            <w:r>
              <w:rPr>
                <w:rFonts w:eastAsiaTheme="minorEastAsia"/>
                <w:sz w:val="21"/>
                <w:szCs w:val="21"/>
              </w:rPr>
              <w:t>全管线</w:t>
            </w:r>
          </w:p>
        </w:tc>
        <w:tc>
          <w:tcPr>
            <w:tcW w:w="1081" w:type="pct"/>
            <w:tcBorders>
              <w:tl2br w:val="nil"/>
              <w:tr2bl w:val="nil"/>
            </w:tcBorders>
            <w:vAlign w:val="center"/>
          </w:tcPr>
          <w:p>
            <w:pPr>
              <w:pStyle w:val="15"/>
              <w:jc w:val="center"/>
              <w:rPr>
                <w:rFonts w:eastAsiaTheme="minorEastAsia"/>
                <w:sz w:val="21"/>
                <w:szCs w:val="21"/>
              </w:rPr>
            </w:pPr>
            <w:r>
              <w:rPr>
                <w:rFonts w:eastAsiaTheme="minorEastAsia"/>
                <w:sz w:val="21"/>
                <w:szCs w:val="21"/>
              </w:rPr>
              <w:t>环境隐患排查</w:t>
            </w:r>
          </w:p>
        </w:tc>
        <w:tc>
          <w:tcPr>
            <w:tcW w:w="916" w:type="pct"/>
            <w:tcBorders>
              <w:tl2br w:val="nil"/>
              <w:tr2bl w:val="nil"/>
            </w:tcBorders>
            <w:vAlign w:val="center"/>
          </w:tcPr>
          <w:p>
            <w:pPr>
              <w:pStyle w:val="15"/>
              <w:jc w:val="center"/>
              <w:rPr>
                <w:rFonts w:eastAsiaTheme="minorEastAsia"/>
                <w:sz w:val="21"/>
                <w:szCs w:val="21"/>
              </w:rPr>
            </w:pPr>
            <w:r>
              <w:rPr>
                <w:rFonts w:eastAsiaTheme="minorEastAsia"/>
                <w:sz w:val="21"/>
                <w:szCs w:val="21"/>
              </w:rPr>
              <w:t>每季一次大检查</w:t>
            </w:r>
          </w:p>
        </w:tc>
        <w:tc>
          <w:tcPr>
            <w:tcW w:w="693" w:type="pct"/>
            <w:tcBorders>
              <w:tl2br w:val="nil"/>
              <w:tr2bl w:val="nil"/>
            </w:tcBorders>
            <w:vAlign w:val="center"/>
          </w:tcPr>
          <w:p>
            <w:pPr>
              <w:pStyle w:val="15"/>
              <w:jc w:val="center"/>
              <w:rPr>
                <w:rFonts w:eastAsiaTheme="minorEastAsia"/>
                <w:sz w:val="21"/>
                <w:szCs w:val="21"/>
              </w:rPr>
            </w:pPr>
            <w:r>
              <w:rPr>
                <w:rFonts w:eastAsiaTheme="minorEastAsia"/>
                <w:sz w:val="21"/>
                <w:szCs w:val="21"/>
              </w:rPr>
              <w:t>消除隐患</w:t>
            </w:r>
          </w:p>
        </w:tc>
      </w:tr>
    </w:tbl>
    <w:p>
      <w:pPr>
        <w:pStyle w:val="5"/>
        <w:rPr>
          <w:rFonts w:eastAsiaTheme="minorEastAsia"/>
        </w:rPr>
      </w:pPr>
      <w:bookmarkStart w:id="29" w:name="_Toc17386515"/>
      <w:r>
        <w:rPr>
          <w:rFonts w:eastAsiaTheme="minorEastAsia"/>
        </w:rPr>
        <w:t>监测质量保证与质量控制</w:t>
      </w:r>
      <w:bookmarkEnd w:id="29"/>
    </w:p>
    <w:p>
      <w:pPr>
        <w:ind w:firstLine="480"/>
        <w:rPr>
          <w:rFonts w:cs="Times New Roman"/>
        </w:rPr>
      </w:pPr>
      <w:r>
        <w:rPr>
          <w:rFonts w:cs="Times New Roman"/>
        </w:rPr>
        <w:t>监测工作全部委托第三方检测公司进行，不涉及设备维护、监测人员培训等内容。</w:t>
      </w:r>
    </w:p>
    <w:p>
      <w:pPr>
        <w:pStyle w:val="5"/>
        <w:rPr>
          <w:rFonts w:eastAsiaTheme="minorEastAsia"/>
        </w:rPr>
      </w:pPr>
      <w:bookmarkStart w:id="30" w:name="_Toc17386516"/>
      <w:r>
        <w:rPr>
          <w:rFonts w:eastAsiaTheme="minorEastAsia"/>
        </w:rPr>
        <w:t>信息记录和报告</w:t>
      </w:r>
      <w:bookmarkEnd w:id="30"/>
    </w:p>
    <w:p>
      <w:pPr>
        <w:ind w:firstLine="480"/>
      </w:pPr>
      <w:r>
        <w:rPr>
          <w:rFonts w:hint="eastAsia"/>
        </w:rPr>
        <w:t>1、</w:t>
      </w:r>
      <w:r>
        <w:t>信息记录</w:t>
      </w:r>
    </w:p>
    <w:p>
      <w:pPr>
        <w:pStyle w:val="10"/>
        <w:spacing w:line="360" w:lineRule="auto"/>
        <w:ind w:firstLine="480" w:firstLineChars="200"/>
        <w:rPr>
          <w:rFonts w:eastAsiaTheme="minorEastAsia"/>
          <w:sz w:val="24"/>
        </w:rPr>
      </w:pPr>
      <w:r>
        <w:rPr>
          <w:rFonts w:eastAsiaTheme="minorEastAsia"/>
          <w:sz w:val="24"/>
        </w:rPr>
        <w:t>（1）手工监测的记录</w:t>
      </w:r>
    </w:p>
    <w:p>
      <w:pPr>
        <w:pStyle w:val="10"/>
        <w:spacing w:line="360" w:lineRule="auto"/>
        <w:ind w:firstLine="480" w:firstLineChars="200"/>
        <w:rPr>
          <w:rFonts w:eastAsiaTheme="minorEastAsia"/>
          <w:sz w:val="24"/>
        </w:rPr>
      </w:pPr>
      <w:r>
        <w:rPr>
          <w:rFonts w:hint="eastAsia" w:ascii="宋体" w:hAnsi="宋体" w:cs="宋体"/>
          <w:sz w:val="24"/>
        </w:rPr>
        <w:t>①</w:t>
      </w:r>
      <w:r>
        <w:rPr>
          <w:rFonts w:eastAsiaTheme="minorEastAsia"/>
          <w:sz w:val="24"/>
        </w:rPr>
        <w:t>采样记录：采样日期、采样时间、采样点位、混合取样的样品数量、采样器名称、采样人姓名等。</w:t>
      </w:r>
    </w:p>
    <w:p>
      <w:pPr>
        <w:pStyle w:val="10"/>
        <w:spacing w:line="360" w:lineRule="auto"/>
        <w:ind w:firstLine="480" w:firstLineChars="200"/>
        <w:rPr>
          <w:rFonts w:eastAsiaTheme="minorEastAsia"/>
          <w:sz w:val="24"/>
        </w:rPr>
      </w:pPr>
      <w:r>
        <w:rPr>
          <w:rFonts w:hint="eastAsia" w:ascii="宋体" w:hAnsi="宋体" w:cs="宋体"/>
          <w:sz w:val="24"/>
        </w:rPr>
        <w:t>②</w:t>
      </w:r>
      <w:r>
        <w:rPr>
          <w:rFonts w:eastAsiaTheme="minorEastAsia"/>
          <w:sz w:val="24"/>
        </w:rPr>
        <w:t>样品保存和交接：样品保存方式、样品传输交接记录。</w:t>
      </w:r>
    </w:p>
    <w:p>
      <w:pPr>
        <w:pStyle w:val="10"/>
        <w:spacing w:line="360" w:lineRule="auto"/>
        <w:ind w:firstLine="480" w:firstLineChars="200"/>
        <w:rPr>
          <w:rFonts w:eastAsiaTheme="minorEastAsia"/>
          <w:sz w:val="24"/>
        </w:rPr>
      </w:pPr>
      <w:r>
        <w:rPr>
          <w:rFonts w:hint="eastAsia" w:ascii="宋体" w:hAnsi="宋体" w:cs="宋体"/>
          <w:sz w:val="24"/>
        </w:rPr>
        <w:t>③</w:t>
      </w:r>
      <w:r>
        <w:rPr>
          <w:rFonts w:eastAsiaTheme="minorEastAsia"/>
          <w:sz w:val="24"/>
        </w:rPr>
        <w:t>样品分析记录：分析日期、样品处理方式、分析方法、质控措施、分析结果、分析人姓名等。</w:t>
      </w:r>
    </w:p>
    <w:p>
      <w:pPr>
        <w:pStyle w:val="10"/>
        <w:spacing w:line="360" w:lineRule="auto"/>
        <w:ind w:firstLine="480" w:firstLineChars="200"/>
        <w:rPr>
          <w:rFonts w:eastAsiaTheme="minorEastAsia"/>
          <w:sz w:val="24"/>
        </w:rPr>
      </w:pPr>
      <w:r>
        <w:rPr>
          <w:rFonts w:hint="eastAsia" w:ascii="宋体" w:hAnsi="宋体" w:cs="宋体"/>
          <w:sz w:val="24"/>
        </w:rPr>
        <w:t>④</w:t>
      </w:r>
      <w:r>
        <w:rPr>
          <w:rFonts w:eastAsiaTheme="minorEastAsia"/>
          <w:sz w:val="24"/>
        </w:rPr>
        <w:t>质控记录：质控结果报告单。</w:t>
      </w:r>
    </w:p>
    <w:p>
      <w:pPr>
        <w:pStyle w:val="10"/>
        <w:spacing w:line="360" w:lineRule="auto"/>
        <w:ind w:firstLine="480" w:firstLineChars="200"/>
        <w:rPr>
          <w:rFonts w:eastAsiaTheme="minorEastAsia"/>
          <w:sz w:val="24"/>
        </w:rPr>
      </w:pPr>
      <w:r>
        <w:rPr>
          <w:rFonts w:eastAsiaTheme="minorEastAsia"/>
          <w:sz w:val="24"/>
        </w:rPr>
        <w:t>（2）自动监测运维记录</w:t>
      </w:r>
    </w:p>
    <w:p>
      <w:pPr>
        <w:pStyle w:val="10"/>
        <w:spacing w:line="360" w:lineRule="auto"/>
        <w:ind w:firstLine="480" w:firstLineChars="200"/>
        <w:rPr>
          <w:rFonts w:eastAsiaTheme="minorEastAsia"/>
          <w:sz w:val="24"/>
        </w:rPr>
      </w:pPr>
      <w:r>
        <w:rPr>
          <w:rFonts w:eastAsiaTheme="minorEastAsia"/>
          <w:sz w:val="24"/>
        </w:rPr>
        <w:t>包括自动监测系统运行状况、系统辅助设备运行状况、系统校准、校验工作等；仪器说明书及相关标准规范中规定的其他检查项目；校准、维护保养、维修记录等。</w:t>
      </w:r>
    </w:p>
    <w:p>
      <w:pPr>
        <w:pStyle w:val="10"/>
        <w:spacing w:line="360" w:lineRule="auto"/>
        <w:ind w:firstLine="480" w:firstLineChars="200"/>
        <w:rPr>
          <w:rFonts w:eastAsiaTheme="minorEastAsia"/>
          <w:sz w:val="24"/>
        </w:rPr>
      </w:pPr>
      <w:r>
        <w:rPr>
          <w:rFonts w:eastAsiaTheme="minorEastAsia"/>
          <w:sz w:val="24"/>
        </w:rPr>
        <w:t>（3）生产和污染治理设施运行状况</w:t>
      </w:r>
    </w:p>
    <w:p>
      <w:pPr>
        <w:pStyle w:val="10"/>
        <w:spacing w:line="360" w:lineRule="auto"/>
        <w:ind w:firstLine="480" w:firstLineChars="200"/>
        <w:rPr>
          <w:rFonts w:eastAsiaTheme="minorEastAsia"/>
          <w:sz w:val="24"/>
        </w:rPr>
      </w:pPr>
      <w:r>
        <w:rPr>
          <w:rFonts w:eastAsiaTheme="minorEastAsia"/>
          <w:sz w:val="24"/>
        </w:rPr>
        <w:t>记录监测期间企业及各主要生产设施运行状况（包括停机、启动情况）、产品产量、主要原辅料使用量、取水量、主要燃料消耗量、燃料主要成分、污染治理设施主要运行状态参数、污染治理主要药剂消耗情况等。日常生产中上述信息也需整理成台账保存备查。</w:t>
      </w:r>
    </w:p>
    <w:p>
      <w:pPr>
        <w:pStyle w:val="10"/>
        <w:spacing w:line="360" w:lineRule="auto"/>
        <w:ind w:firstLine="480" w:firstLineChars="200"/>
        <w:rPr>
          <w:rFonts w:eastAsiaTheme="minorEastAsia"/>
          <w:sz w:val="24"/>
        </w:rPr>
      </w:pPr>
      <w:r>
        <w:rPr>
          <w:rFonts w:eastAsiaTheme="minorEastAsia"/>
          <w:sz w:val="24"/>
        </w:rPr>
        <w:t>（4）固体废物产生与处理状况</w:t>
      </w:r>
    </w:p>
    <w:p>
      <w:pPr>
        <w:pStyle w:val="10"/>
        <w:spacing w:line="360" w:lineRule="auto"/>
        <w:ind w:firstLine="480" w:firstLineChars="200"/>
        <w:rPr>
          <w:rFonts w:eastAsiaTheme="minorEastAsia"/>
          <w:sz w:val="24"/>
        </w:rPr>
      </w:pPr>
      <w:r>
        <w:rPr>
          <w:rFonts w:eastAsiaTheme="minorEastAsia"/>
          <w:sz w:val="24"/>
        </w:rPr>
        <w:t>记录监测期间各类固体废物的产生量、综合利用量、处置量、贮存量、倾倒丢弃量。</w:t>
      </w:r>
    </w:p>
    <w:p>
      <w:pPr>
        <w:ind w:firstLine="480"/>
      </w:pPr>
      <w:r>
        <w:rPr>
          <w:rFonts w:hint="eastAsia"/>
        </w:rPr>
        <w:t>2、信息报告</w:t>
      </w:r>
    </w:p>
    <w:p>
      <w:pPr>
        <w:pStyle w:val="10"/>
        <w:spacing w:line="360" w:lineRule="auto"/>
        <w:ind w:firstLine="480" w:firstLineChars="200"/>
        <w:rPr>
          <w:rFonts w:eastAsiaTheme="minorEastAsia"/>
          <w:sz w:val="24"/>
        </w:rPr>
      </w:pPr>
      <w:r>
        <w:rPr>
          <w:rFonts w:eastAsiaTheme="minorEastAsia"/>
          <w:sz w:val="24"/>
        </w:rPr>
        <w:t>编写自行监测年度报告，年度报告至少应包含以下内容：</w:t>
      </w:r>
    </w:p>
    <w:p>
      <w:pPr>
        <w:pStyle w:val="10"/>
        <w:spacing w:line="360" w:lineRule="auto"/>
        <w:ind w:firstLine="480" w:firstLineChars="200"/>
        <w:rPr>
          <w:rFonts w:eastAsiaTheme="minorEastAsia"/>
          <w:sz w:val="24"/>
        </w:rPr>
      </w:pPr>
      <w:r>
        <w:rPr>
          <w:rFonts w:hint="eastAsia" w:ascii="宋体" w:hAnsi="宋体" w:cs="宋体"/>
          <w:sz w:val="24"/>
        </w:rPr>
        <w:t>①</w:t>
      </w:r>
      <w:r>
        <w:rPr>
          <w:rFonts w:eastAsiaTheme="minorEastAsia"/>
          <w:sz w:val="24"/>
        </w:rPr>
        <w:t>监测方案的调整变化情况及变更原因；</w:t>
      </w:r>
    </w:p>
    <w:p>
      <w:pPr>
        <w:pStyle w:val="10"/>
        <w:spacing w:line="360" w:lineRule="auto"/>
        <w:ind w:firstLine="480" w:firstLineChars="200"/>
        <w:rPr>
          <w:rFonts w:eastAsiaTheme="minorEastAsia"/>
          <w:sz w:val="24"/>
        </w:rPr>
      </w:pPr>
      <w:r>
        <w:rPr>
          <w:rFonts w:hint="eastAsia" w:ascii="宋体" w:hAnsi="宋体" w:cs="宋体"/>
          <w:sz w:val="24"/>
        </w:rPr>
        <w:t>②</w:t>
      </w:r>
      <w:r>
        <w:rPr>
          <w:rFonts w:eastAsiaTheme="minorEastAsia"/>
          <w:sz w:val="24"/>
        </w:rPr>
        <w:t>企业及各主要生产设施（至少涵盖废气主要污染源相关生产设施）全年运行天数， 各监测点、各监测指标全年监测次数、超标情况、浓度分布情况；</w:t>
      </w:r>
    </w:p>
    <w:p>
      <w:pPr>
        <w:pStyle w:val="10"/>
        <w:spacing w:line="360" w:lineRule="auto"/>
        <w:ind w:firstLine="480" w:firstLineChars="200"/>
        <w:rPr>
          <w:rFonts w:eastAsiaTheme="minorEastAsia"/>
          <w:sz w:val="24"/>
        </w:rPr>
      </w:pPr>
      <w:r>
        <w:rPr>
          <w:rFonts w:hint="eastAsia" w:ascii="宋体" w:hAnsi="宋体" w:cs="宋体"/>
          <w:sz w:val="24"/>
        </w:rPr>
        <w:t>③</w:t>
      </w:r>
      <w:r>
        <w:rPr>
          <w:rFonts w:eastAsiaTheme="minorEastAsia"/>
          <w:sz w:val="24"/>
        </w:rPr>
        <w:t>按要求开展的周边环境质量影响状况监测结果；</w:t>
      </w:r>
    </w:p>
    <w:p>
      <w:pPr>
        <w:pStyle w:val="10"/>
        <w:spacing w:line="360" w:lineRule="auto"/>
        <w:ind w:firstLine="480" w:firstLineChars="200"/>
        <w:rPr>
          <w:rFonts w:eastAsiaTheme="minorEastAsia"/>
          <w:sz w:val="24"/>
        </w:rPr>
      </w:pPr>
      <w:r>
        <w:rPr>
          <w:rFonts w:hint="eastAsia" w:ascii="宋体" w:hAnsi="宋体" w:cs="宋体"/>
          <w:sz w:val="24"/>
        </w:rPr>
        <w:t>④</w:t>
      </w:r>
      <w:r>
        <w:rPr>
          <w:rFonts w:eastAsiaTheme="minorEastAsia"/>
          <w:sz w:val="24"/>
        </w:rPr>
        <w:t>自行监测开展的其他情况说明；</w:t>
      </w:r>
    </w:p>
    <w:p>
      <w:pPr>
        <w:pStyle w:val="10"/>
        <w:spacing w:line="360" w:lineRule="auto"/>
        <w:ind w:firstLine="480" w:firstLineChars="200"/>
        <w:rPr>
          <w:rFonts w:eastAsiaTheme="minorEastAsia"/>
          <w:sz w:val="24"/>
        </w:rPr>
      </w:pPr>
      <w:r>
        <w:rPr>
          <w:rFonts w:hint="eastAsia" w:ascii="宋体" w:hAnsi="宋体" w:cs="宋体"/>
          <w:sz w:val="24"/>
        </w:rPr>
        <w:t>⑤</w:t>
      </w:r>
      <w:r>
        <w:rPr>
          <w:rFonts w:eastAsiaTheme="minorEastAsia"/>
          <w:sz w:val="24"/>
        </w:rPr>
        <w:t>排污单位实现达标排放所采取的主要措施。</w:t>
      </w:r>
    </w:p>
    <w:p>
      <w:pPr>
        <w:ind w:firstLine="480"/>
      </w:pPr>
      <w:r>
        <w:rPr>
          <w:rFonts w:hint="eastAsia"/>
        </w:rPr>
        <w:t>3、应急报告</w:t>
      </w:r>
    </w:p>
    <w:p>
      <w:pPr>
        <w:pStyle w:val="10"/>
        <w:spacing w:line="360" w:lineRule="auto"/>
        <w:ind w:firstLine="480" w:firstLineChars="200"/>
        <w:rPr>
          <w:rFonts w:eastAsiaTheme="minorEastAsia"/>
          <w:sz w:val="24"/>
        </w:rPr>
      </w:pPr>
      <w:r>
        <w:rPr>
          <w:rFonts w:eastAsiaTheme="minorEastAsia"/>
          <w:sz w:val="24"/>
        </w:rPr>
        <w:t>监测结果出现超标的，排污单位应加密监测，并检查超标原因。短期内无法实现稳定达标排放的，应向环境保护主管部门提交事故分析报告，说明事故发生的原因，采取减轻或防止污染的措施，以及今后的预防及改进措施等；若因发生事故或者其他突发事件，排放的污水可能危及城镇排水与污水处理设施安全运行的，应当立即采取措施消除危害，并及时向城镇排水主管部门和环境保护主管部门等有关部门报告。</w:t>
      </w:r>
    </w:p>
    <w:p>
      <w:pPr>
        <w:ind w:firstLine="480"/>
      </w:pPr>
      <w:r>
        <w:rPr>
          <w:rFonts w:hint="eastAsia"/>
        </w:rPr>
        <w:t>4、信息公开</w:t>
      </w:r>
    </w:p>
    <w:p>
      <w:pPr>
        <w:pStyle w:val="10"/>
        <w:spacing w:line="360" w:lineRule="auto"/>
        <w:ind w:firstLine="480" w:firstLineChars="200"/>
        <w:rPr>
          <w:rFonts w:eastAsiaTheme="minorEastAsia"/>
          <w:sz w:val="24"/>
        </w:rPr>
      </w:pPr>
      <w:r>
        <w:rPr>
          <w:rFonts w:eastAsiaTheme="minorEastAsia"/>
          <w:sz w:val="24"/>
        </w:rPr>
        <w:t>自行监测信息公开内容及方式按照《企业事业单位环境信息公开办法》（环境保护部令第31号）、《国家重点监控企业自行监测及信息公开办法（试行）》（环发〔2013〕81号）及地方环境保护主管部门要求执行。</w:t>
      </w:r>
    </w:p>
    <w:p>
      <w:pPr>
        <w:ind w:firstLine="480"/>
      </w:pPr>
      <w:r>
        <w:rPr>
          <w:rFonts w:hint="eastAsia"/>
        </w:rPr>
        <w:t>5、监测管理</w:t>
      </w:r>
    </w:p>
    <w:p>
      <w:pPr>
        <w:pStyle w:val="10"/>
        <w:spacing w:line="360" w:lineRule="auto"/>
        <w:ind w:firstLine="480" w:firstLineChars="200"/>
        <w:rPr>
          <w:rFonts w:hint="eastAsia" w:eastAsiaTheme="minorEastAsia"/>
          <w:lang w:eastAsia="zh-CN"/>
        </w:rPr>
      </w:pPr>
      <w:r>
        <w:rPr>
          <w:rFonts w:eastAsiaTheme="minorEastAsia"/>
          <w:sz w:val="24"/>
        </w:rPr>
        <w:t>排污单位对其自行监测结果及信息公开内容的真实性、准确性、完整性负责。  排污单位应积极配合并接受环境保护行政主管部门的日常监督管理。</w:t>
      </w:r>
      <w:bookmarkStart w:id="31" w:name="_GoBack"/>
      <w:bookmarkEnd w:id="3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1"/>
      </w:pBdr>
      <w:ind w:firstLine="360"/>
      <w:jc w:val="right"/>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ind w:firstLine="360"/>
                          </w:pPr>
                          <w:r>
                            <w:fldChar w:fldCharType="begin"/>
                          </w:r>
                          <w:r>
                            <w:instrText xml:space="preserve"> PAGE  \* MERGEFORMAT </w:instrText>
                          </w:r>
                          <w:r>
                            <w:fldChar w:fldCharType="separate"/>
                          </w:r>
                          <w:r>
                            <w:t>164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lXWMI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LOnlDiWYKMzr9+H76+XD69Y3gDwC11s9gt7GwDN0702HQw7/HZ+y7&#10;q5yKNzoi0APq4wVe0QXCo9N0Mp3mUHHohgfiZ4/u1vnwXhhFolBQh/klWNlh7UNvOpjEbNqsGinT&#10;DKUmbUGvXr/Nk8NFg+BSR1uR2HAOE1vqS49S6Lbduc+tKY9o05meKd7yVYNS1syHe+ZADZQPuoc7&#10;HJU0SGnOEiW1cV//9h/tMTFoKWlBtYJq7AIl8oPGJCMrB8ENwnYQ9F7dGHB3jDWyPIlwcEEOYuWM&#10;+oIdWMYcUDHNkamgYRBvQk937BAXy2Uy2lvX7OreATy0LKz1xvKYJkLl7XIfAG1CPALUo4JJxQeY&#10;mGZ23ppI9afvZPW424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lXWMIbAgAAIwQAAA4A&#10;AAAAAAAAAQAgAAAAHwEAAGRycy9lMm9Eb2MueG1sUEsFBgAAAAAGAAYAWQEAAKwFAAAAAA==&#10;">
              <v:fill on="f" focussize="0,0"/>
              <v:stroke on="f" weight="0.5pt"/>
              <v:imagedata o:title=""/>
              <o:lock v:ext="edit" aspectratio="f"/>
              <v:textbox inset="0mm,0mm,0mm,0mm" style="mso-fit-shape-to-text:t;">
                <w:txbxContent>
                  <w:p>
                    <w:pPr>
                      <w:pStyle w:val="7"/>
                      <w:ind w:firstLine="360"/>
                    </w:pPr>
                    <w:r>
                      <w:fldChar w:fldCharType="begin"/>
                    </w:r>
                    <w:r>
                      <w:instrText xml:space="preserve"> PAGE  \* MERGEFORMAT </w:instrText>
                    </w:r>
                    <w:r>
                      <w:fldChar w:fldCharType="separate"/>
                    </w:r>
                    <w:r>
                      <w:t>164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8425B"/>
    <w:multiLevelType w:val="multilevel"/>
    <w:tmpl w:val="5F38425B"/>
    <w:lvl w:ilvl="0" w:tentative="0">
      <w:start w:val="1"/>
      <w:numFmt w:val="decimal"/>
      <w:pStyle w:val="3"/>
      <w:lvlText w:val="第 %1 章 "/>
      <w:lvlJc w:val="left"/>
      <w:pPr>
        <w:ind w:left="420" w:hanging="420"/>
      </w:pPr>
      <w:rPr>
        <w:rFonts w:hint="eastAsia" w:eastAsia="黑体"/>
        <w:b/>
        <w:i w:val="0"/>
        <w:sz w:val="36"/>
      </w:rPr>
    </w:lvl>
    <w:lvl w:ilvl="1" w:tentative="0">
      <w:start w:val="1"/>
      <w:numFmt w:val="decimal"/>
      <w:pStyle w:val="4"/>
      <w:lvlText w:val="%1.%2"/>
      <w:lvlJc w:val="left"/>
      <w:pPr>
        <w:ind w:left="0" w:firstLine="0"/>
      </w:pPr>
      <w:rPr>
        <w:rFonts w:hint="eastAsia"/>
      </w:rPr>
    </w:lvl>
    <w:lvl w:ilvl="2" w:tentative="0">
      <w:start w:val="1"/>
      <w:numFmt w:val="decimal"/>
      <w:pStyle w:val="5"/>
      <w:lvlText w:val="%1.%2.%3"/>
      <w:lvlJc w:val="left"/>
      <w:pPr>
        <w:ind w:left="0" w:firstLine="142"/>
      </w:pPr>
      <w:rPr>
        <w:rFonts w:hint="eastAsia"/>
        <w:b w:val="0"/>
        <w:bCs w:val="0"/>
        <w:i w:val="0"/>
        <w:iCs w:val="0"/>
        <w:caps w:val="0"/>
        <w:smallCaps w:val="0"/>
        <w:strike w:val="0"/>
        <w:dstrike w:val="0"/>
        <w:vanish w:val="0"/>
        <w:color w:val="000000"/>
        <w:spacing w:val="0"/>
        <w:position w:val="0"/>
        <w:u w:val="none"/>
        <w:vertAlign w:val="baseline"/>
      </w:rPr>
    </w:lvl>
    <w:lvl w:ilvl="3" w:tentative="0">
      <w:start w:val="1"/>
      <w:numFmt w:val="decimal"/>
      <w:lvlText w:val="%1.%2.%3.%4"/>
      <w:lvlJc w:val="left"/>
      <w:pPr>
        <w:ind w:left="425" w:hanging="425"/>
      </w:pPr>
      <w:rPr>
        <w:rFonts w:hint="eastAsia"/>
      </w:rPr>
    </w:lvl>
    <w:lvl w:ilvl="4" w:tentative="0">
      <w:start w:val="1"/>
      <w:numFmt w:val="decimal"/>
      <w:lvlText w:val="%1.%2.%3.%4.%5"/>
      <w:lvlJc w:val="left"/>
      <w:pPr>
        <w:ind w:left="425" w:hanging="425"/>
      </w:pPr>
      <w:rPr>
        <w:rFonts w:hint="eastAsia"/>
      </w:rPr>
    </w:lvl>
    <w:lvl w:ilvl="5" w:tentative="0">
      <w:start w:val="1"/>
      <w:numFmt w:val="decimal"/>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33CDF"/>
    <w:rsid w:val="2C533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Theme="minorEastAsia" w:cstheme="minorBidi"/>
      <w:kern w:val="2"/>
      <w:sz w:val="24"/>
      <w:szCs w:val="22"/>
      <w:lang w:val="en-US" w:eastAsia="zh-CN" w:bidi="ar-SA"/>
    </w:rPr>
  </w:style>
  <w:style w:type="paragraph" w:styleId="3">
    <w:name w:val="heading 1"/>
    <w:basedOn w:val="1"/>
    <w:next w:val="1"/>
    <w:qFormat/>
    <w:uiPriority w:val="0"/>
    <w:pPr>
      <w:keepNext/>
      <w:keepLines/>
      <w:numPr>
        <w:ilvl w:val="0"/>
        <w:numId w:val="1"/>
      </w:numPr>
      <w:spacing w:beforeLines="50" w:afterLines="50"/>
      <w:ind w:left="0" w:firstLine="0" w:firstLineChars="0"/>
      <w:jc w:val="center"/>
      <w:outlineLvl w:val="0"/>
    </w:pPr>
    <w:rPr>
      <w:rFonts w:eastAsia="黑体"/>
      <w:bCs/>
      <w:kern w:val="44"/>
      <w:sz w:val="36"/>
      <w:szCs w:val="44"/>
    </w:rPr>
  </w:style>
  <w:style w:type="paragraph" w:styleId="4">
    <w:name w:val="heading 2"/>
    <w:basedOn w:val="1"/>
    <w:next w:val="1"/>
    <w:unhideWhenUsed/>
    <w:qFormat/>
    <w:uiPriority w:val="0"/>
    <w:pPr>
      <w:keepNext/>
      <w:keepLines/>
      <w:numPr>
        <w:ilvl w:val="1"/>
        <w:numId w:val="1"/>
      </w:numPr>
      <w:spacing w:beforeLines="50"/>
      <w:ind w:firstLineChars="0"/>
      <w:outlineLvl w:val="1"/>
    </w:pPr>
    <w:rPr>
      <w:rFonts w:eastAsia="黑体" w:cstheme="majorBidi"/>
      <w:bCs/>
      <w:sz w:val="30"/>
      <w:szCs w:val="32"/>
    </w:rPr>
  </w:style>
  <w:style w:type="paragraph" w:styleId="5">
    <w:name w:val="heading 3"/>
    <w:basedOn w:val="1"/>
    <w:next w:val="1"/>
    <w:unhideWhenUsed/>
    <w:qFormat/>
    <w:uiPriority w:val="0"/>
    <w:pPr>
      <w:keepNext/>
      <w:keepLines/>
      <w:numPr>
        <w:ilvl w:val="2"/>
        <w:numId w:val="1"/>
      </w:numPr>
      <w:adjustRightInd w:val="0"/>
      <w:snapToGrid w:val="0"/>
      <w:spacing w:before="260" w:after="260" w:line="240" w:lineRule="auto"/>
      <w:ind w:firstLine="0" w:firstLineChars="0"/>
      <w:outlineLvl w:val="2"/>
    </w:pPr>
    <w:rPr>
      <w:rFonts w:eastAsia="黑体" w:cs="Times New Roman"/>
      <w:bCs/>
      <w:sz w:val="28"/>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li_正文"/>
    <w:basedOn w:val="1"/>
    <w:qFormat/>
    <w:uiPriority w:val="99"/>
    <w:pPr>
      <w:tabs>
        <w:tab w:val="left" w:pos="2340"/>
        <w:tab w:val="left" w:pos="4320"/>
      </w:tabs>
      <w:ind w:firstLine="530" w:firstLineChars="200"/>
      <w:jc w:val="left"/>
    </w:pPr>
    <w:rPr>
      <w:sz w:val="28"/>
      <w:szCs w:val="28"/>
    </w:rPr>
  </w:style>
  <w:style w:type="paragraph" w:styleId="6">
    <w:name w:val="Normal Indent"/>
    <w:basedOn w:val="1"/>
    <w:qFormat/>
    <w:uiPriority w:val="0"/>
    <w:pPr>
      <w:spacing w:line="240" w:lineRule="auto"/>
      <w:ind w:firstLine="420"/>
    </w:pPr>
    <w:rPr>
      <w:rFonts w:ascii="宋体" w:hAnsi="宋体" w:eastAsia="仿宋_GB2312" w:cs="宋体"/>
      <w:color w:val="000000"/>
      <w:kern w:val="96"/>
      <w:sz w:val="21"/>
      <w:szCs w:val="24"/>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customStyle="1" w:styleId="10">
    <w:name w:val="我的正文"/>
    <w:basedOn w:val="1"/>
    <w:next w:val="11"/>
    <w:qFormat/>
    <w:uiPriority w:val="0"/>
    <w:pPr>
      <w:spacing w:line="240" w:lineRule="auto"/>
      <w:ind w:firstLine="538" w:firstLineChars="192"/>
    </w:pPr>
    <w:rPr>
      <w:rFonts w:eastAsia="宋体" w:cs="Times New Roman"/>
      <w:sz w:val="28"/>
      <w:szCs w:val="24"/>
    </w:rPr>
  </w:style>
  <w:style w:type="paragraph" w:customStyle="1" w:styleId="11">
    <w:name w:val="表提11111"/>
    <w:next w:val="12"/>
    <w:qFormat/>
    <w:uiPriority w:val="0"/>
    <w:pPr>
      <w:widowControl w:val="0"/>
      <w:autoSpaceDE w:val="0"/>
      <w:autoSpaceDN w:val="0"/>
      <w:spacing w:line="360" w:lineRule="auto"/>
      <w:ind w:left="510" w:firstLine="5886"/>
      <w:jc w:val="both"/>
    </w:pPr>
    <w:rPr>
      <w:rFonts w:ascii="Calibri" w:hAnsi="Calibri" w:eastAsia="宋体" w:cs="Times New Roman"/>
      <w:lang w:val="en-US" w:eastAsia="zh-CN" w:bidi="ar-SA"/>
    </w:rPr>
  </w:style>
  <w:style w:type="paragraph" w:customStyle="1" w:styleId="12">
    <w:name w:val="样式 正文缩进 + 宋体 四号 首行缩进:  2 字符 行距: 固定值 22 磅"/>
    <w:basedOn w:val="6"/>
    <w:next w:val="13"/>
    <w:qFormat/>
    <w:uiPriority w:val="0"/>
    <w:pPr>
      <w:spacing w:line="440" w:lineRule="exact"/>
      <w:ind w:firstLine="560"/>
    </w:pPr>
    <w:rPr>
      <w:rFonts w:eastAsia="宋体"/>
      <w:kern w:val="2"/>
      <w:sz w:val="24"/>
      <w:szCs w:val="20"/>
    </w:rPr>
  </w:style>
  <w:style w:type="paragraph" w:customStyle="1" w:styleId="13">
    <w:name w:val="段落文字 Char Char1 Char"/>
    <w:basedOn w:val="1"/>
    <w:next w:val="14"/>
    <w:qFormat/>
    <w:uiPriority w:val="0"/>
    <w:pPr>
      <w:adjustRightInd w:val="0"/>
      <w:snapToGrid w:val="0"/>
      <w:ind w:firstLine="560" w:firstLineChars="0"/>
    </w:pPr>
    <w:rPr>
      <w:rFonts w:ascii="宋体" w:hAnsi="宋体" w:eastAsia="仿宋_GB2312" w:cs="宋体"/>
      <w:color w:val="000000"/>
      <w:sz w:val="28"/>
      <w:szCs w:val="28"/>
    </w:rPr>
  </w:style>
  <w:style w:type="paragraph" w:customStyle="1" w:styleId="14">
    <w:name w:val="五号表格"/>
    <w:next w:val="1"/>
    <w:qFormat/>
    <w:uiPriority w:val="0"/>
    <w:pPr>
      <w:ind w:firstLine="3584"/>
    </w:pPr>
    <w:rPr>
      <w:rFonts w:ascii="Calibri" w:hAnsi="Calibri" w:eastAsia="宋体" w:cs="Times New Roman"/>
      <w:lang w:val="en-US" w:eastAsia="zh-CN" w:bidi="ar-SA"/>
    </w:rPr>
  </w:style>
  <w:style w:type="paragraph" w:customStyle="1" w:styleId="15">
    <w:name w:val="Table Paragraph"/>
    <w:basedOn w:val="1"/>
    <w:qFormat/>
    <w:uiPriority w:val="1"/>
    <w:pPr>
      <w:spacing w:line="240" w:lineRule="auto"/>
      <w:ind w:firstLine="0" w:firstLineChars="0"/>
      <w:jc w:val="left"/>
    </w:pPr>
    <w:rPr>
      <w:rFonts w:eastAsia="宋体" w:cs="Times New Roman"/>
      <w:kern w:val="0"/>
      <w:sz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2021-07-01T09:23:00Z</dcterms:created>
  <dc:creator>邵这这</dc:creator>
  <cp:lastModifiedBy>邵这这</cp:lastModifiedBy>
  <dcterms:modified xsi:type="dcterms:W3CDTF">2021-07-01T09:23:46Z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