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before="163" w:after="163"/>
        <w:rPr>
          <w:rFonts w:cs="Times New Roman" w:eastAsiaTheme="minorEastAsia"/>
        </w:rPr>
      </w:pPr>
      <w:r>
        <w:rPr>
          <w:rFonts w:cs="Times New Roman" w:eastAsiaTheme="minorEastAsia"/>
        </w:rPr>
        <w:tab/>
      </w:r>
      <w:bookmarkStart w:id="0" w:name="_Toc17386481"/>
      <w:bookmarkStart w:id="1" w:name="_Toc24191"/>
      <w:r>
        <w:rPr>
          <w:rFonts w:hint="eastAsia" w:cs="Times New Roman" w:eastAsiaTheme="minorEastAsia"/>
        </w:rPr>
        <w:t>政策及规划符合性</w:t>
      </w:r>
      <w:r>
        <w:rPr>
          <w:rFonts w:cs="Times New Roman" w:eastAsiaTheme="minorEastAsia"/>
        </w:rPr>
        <w:t>分析</w:t>
      </w:r>
      <w:bookmarkEnd w:id="0"/>
      <w:bookmarkEnd w:id="1"/>
    </w:p>
    <w:p>
      <w:pPr>
        <w:pStyle w:val="4"/>
        <w:spacing w:before="163"/>
        <w:rPr>
          <w:rFonts w:cs="Times New Roman" w:eastAsiaTheme="minorEastAsia"/>
        </w:rPr>
      </w:pPr>
      <w:bookmarkStart w:id="2" w:name="_Toc17386482"/>
      <w:bookmarkStart w:id="3" w:name="_Toc21423"/>
      <w:r>
        <w:rPr>
          <w:rFonts w:hint="eastAsia" w:cs="Times New Roman" w:eastAsiaTheme="minorEastAsia"/>
        </w:rPr>
        <w:t>产业政策</w:t>
      </w:r>
      <w:r>
        <w:rPr>
          <w:rFonts w:cs="Times New Roman" w:eastAsiaTheme="minorEastAsia"/>
        </w:rPr>
        <w:t>符合性分析</w:t>
      </w:r>
      <w:bookmarkEnd w:id="2"/>
      <w:bookmarkEnd w:id="3"/>
    </w:p>
    <w:p>
      <w:pPr>
        <w:pStyle w:val="5"/>
        <w:rPr>
          <w:rFonts w:eastAsiaTheme="minorEastAsia"/>
        </w:rPr>
      </w:pPr>
      <w:bookmarkStart w:id="4" w:name="_Toc17386483"/>
      <w:r>
        <w:rPr>
          <w:rFonts w:eastAsiaTheme="minorEastAsia"/>
        </w:rPr>
        <w:t>国家产业政策符合性分析</w:t>
      </w:r>
    </w:p>
    <w:p>
      <w:pPr>
        <w:ind w:firstLine="480"/>
        <w:rPr>
          <w:rFonts w:cs="Times New Roman"/>
        </w:rPr>
      </w:pPr>
      <w:r>
        <w:rPr>
          <w:rFonts w:cs="Times New Roman"/>
        </w:rPr>
        <w:t>根据《国务院关于发布实施〈促进产业结构调整暂行规定〉的决定》（国发[2005]40号）、《产业结构调整指导目录》</w:t>
      </w:r>
      <w:r>
        <w:rPr>
          <w:rFonts w:hint="eastAsia" w:cs="Times New Roman"/>
        </w:rPr>
        <w:t>（2019年本）</w:t>
      </w:r>
      <w:r>
        <w:rPr>
          <w:rFonts w:cs="Times New Roman"/>
        </w:rPr>
        <w:t>规定，拟建项目属于“第一类 鼓励类，七、石油、天然气，3、原油、天然气、液化天然气、成品油的储运和管道输送设施及网络建设”项目，属于鼓励类建设项目，符合国家产业政策要求。</w:t>
      </w:r>
    </w:p>
    <w:p>
      <w:pPr>
        <w:ind w:firstLine="480"/>
        <w:rPr>
          <w:rFonts w:cs="Times New Roman"/>
        </w:rPr>
      </w:pPr>
      <w:r>
        <w:rPr>
          <w:rFonts w:cs="Times New Roman"/>
        </w:rPr>
        <w:t>因此，拟建项目的建设符合国家产业政策有关要求。</w:t>
      </w:r>
    </w:p>
    <w:p>
      <w:pPr>
        <w:pStyle w:val="4"/>
        <w:spacing w:before="163"/>
        <w:rPr>
          <w:rFonts w:cs="Times New Roman" w:eastAsiaTheme="minorEastAsia"/>
        </w:rPr>
      </w:pPr>
      <w:bookmarkStart w:id="5" w:name="_Toc12261"/>
      <w:r>
        <w:rPr>
          <w:rFonts w:hint="eastAsia" w:cs="Times New Roman" w:eastAsiaTheme="minorEastAsia"/>
        </w:rPr>
        <w:t>相关规划</w:t>
      </w:r>
      <w:r>
        <w:rPr>
          <w:rFonts w:cs="Times New Roman" w:eastAsiaTheme="minorEastAsia"/>
        </w:rPr>
        <w:t>符合性分析</w:t>
      </w:r>
      <w:bookmarkEnd w:id="5"/>
    </w:p>
    <w:p>
      <w:pPr>
        <w:pStyle w:val="5"/>
        <w:rPr>
          <w:rFonts w:eastAsiaTheme="minorEastAsia"/>
        </w:rPr>
      </w:pPr>
      <w:r>
        <w:rPr>
          <w:rFonts w:eastAsiaTheme="minorEastAsia"/>
        </w:rPr>
        <w:t>与《水污染防治行动计划》符合性分析</w:t>
      </w:r>
    </w:p>
    <w:p>
      <w:pPr>
        <w:ind w:firstLine="480"/>
        <w:rPr>
          <w:rFonts w:cs="Times New Roman"/>
        </w:rPr>
      </w:pPr>
      <w:r>
        <w:rPr>
          <w:rFonts w:cs="Times New Roman"/>
        </w:rPr>
        <w:t>2015年4月，国务院印发《国务院关于印发水污染防治行动计划的通知》（国发[2015]17号），本项目与该计划的对比分析见</w:t>
      </w:r>
      <w:r>
        <w:rPr>
          <w:rFonts w:hint="eastAsia" w:cs="Times New Roman"/>
        </w:rPr>
        <w:t>表8.2-1。</w:t>
      </w:r>
    </w:p>
    <w:p>
      <w:pPr>
        <w:keepNext/>
        <w:spacing w:beforeLines="30" w:afterLines="30"/>
        <w:ind w:firstLine="482"/>
        <w:jc w:val="center"/>
        <w:rPr>
          <w:rFonts w:cs="Times New Roman"/>
          <w:b/>
          <w:bCs/>
          <w:szCs w:val="20"/>
        </w:rPr>
      </w:pPr>
      <w:r>
        <w:rPr>
          <w:rFonts w:cs="Times New Roman"/>
          <w:b/>
          <w:bCs/>
          <w:szCs w:val="20"/>
        </w:rPr>
        <w:t xml:space="preserve">表 </w:t>
      </w:r>
      <w:r>
        <w:rPr>
          <w:rFonts w:hint="eastAsia" w:cs="Times New Roman"/>
          <w:b/>
          <w:bCs/>
        </w:rPr>
        <w:t>8.2</w:t>
      </w:r>
      <w:r>
        <w:rPr>
          <w:rFonts w:cs="Times New Roman"/>
          <w:b/>
          <w:bCs/>
          <w:szCs w:val="20"/>
        </w:rPr>
        <w:noBreakHyphen/>
      </w:r>
      <w:r>
        <w:rPr>
          <w:rFonts w:cs="Times New Roman"/>
          <w:b/>
          <w:bCs/>
          <w:szCs w:val="20"/>
        </w:rPr>
        <w:t>1  本项目与《水污染防治行动计划》符合性分析</w:t>
      </w:r>
    </w:p>
    <w:tbl>
      <w:tblPr>
        <w:tblStyle w:val="8"/>
        <w:tblW w:w="8595"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30"/>
        <w:gridCol w:w="879"/>
        <w:gridCol w:w="3686"/>
        <w:gridCol w:w="2236"/>
        <w:gridCol w:w="864"/>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495" w:type="dxa"/>
            <w:gridSpan w:val="3"/>
            <w:tcBorders>
              <w:tl2br w:val="nil"/>
              <w:tr2bl w:val="nil"/>
            </w:tcBorders>
            <w:vAlign w:val="center"/>
          </w:tcPr>
          <w:p>
            <w:pPr>
              <w:autoSpaceDE w:val="0"/>
              <w:autoSpaceDN w:val="0"/>
              <w:adjustRightInd w:val="0"/>
              <w:spacing w:line="240" w:lineRule="auto"/>
              <w:ind w:firstLine="0" w:firstLineChars="0"/>
              <w:jc w:val="center"/>
              <w:rPr>
                <w:rFonts w:cs="Times New Roman"/>
                <w:b/>
                <w:bCs/>
                <w:kern w:val="0"/>
                <w:sz w:val="21"/>
                <w:szCs w:val="21"/>
              </w:rPr>
            </w:pPr>
            <w:r>
              <w:rPr>
                <w:rFonts w:cs="Times New Roman"/>
                <w:b/>
                <w:bCs/>
                <w:kern w:val="0"/>
                <w:sz w:val="21"/>
                <w:szCs w:val="21"/>
              </w:rPr>
              <w:t>《水污染防治行动计划》</w:t>
            </w:r>
          </w:p>
        </w:tc>
        <w:tc>
          <w:tcPr>
            <w:tcW w:w="2236" w:type="dxa"/>
            <w:tcBorders>
              <w:tl2br w:val="nil"/>
              <w:tr2bl w:val="nil"/>
            </w:tcBorders>
            <w:vAlign w:val="center"/>
          </w:tcPr>
          <w:p>
            <w:pPr>
              <w:autoSpaceDE w:val="0"/>
              <w:autoSpaceDN w:val="0"/>
              <w:adjustRightInd w:val="0"/>
              <w:spacing w:line="240" w:lineRule="auto"/>
              <w:ind w:firstLine="0" w:firstLineChars="0"/>
              <w:jc w:val="center"/>
              <w:rPr>
                <w:rFonts w:cs="Times New Roman"/>
                <w:b/>
                <w:bCs/>
                <w:kern w:val="0"/>
                <w:sz w:val="21"/>
                <w:szCs w:val="21"/>
              </w:rPr>
            </w:pPr>
            <w:r>
              <w:rPr>
                <w:rFonts w:cs="Times New Roman"/>
                <w:b/>
                <w:bCs/>
                <w:kern w:val="0"/>
                <w:sz w:val="21"/>
                <w:szCs w:val="21"/>
              </w:rPr>
              <w:t>本项目情况</w:t>
            </w:r>
          </w:p>
        </w:tc>
        <w:tc>
          <w:tcPr>
            <w:tcW w:w="864" w:type="dxa"/>
            <w:tcBorders>
              <w:tl2br w:val="nil"/>
              <w:tr2bl w:val="nil"/>
            </w:tcBorders>
            <w:vAlign w:val="center"/>
          </w:tcPr>
          <w:p>
            <w:pPr>
              <w:autoSpaceDE w:val="0"/>
              <w:autoSpaceDN w:val="0"/>
              <w:adjustRightInd w:val="0"/>
              <w:spacing w:line="240" w:lineRule="auto"/>
              <w:ind w:firstLine="0" w:firstLineChars="0"/>
              <w:jc w:val="center"/>
              <w:rPr>
                <w:rFonts w:cs="Times New Roman"/>
                <w:b/>
                <w:bCs/>
                <w:kern w:val="0"/>
                <w:sz w:val="21"/>
                <w:szCs w:val="21"/>
              </w:rPr>
            </w:pPr>
            <w:r>
              <w:rPr>
                <w:rFonts w:cs="Times New Roman"/>
                <w:b/>
                <w:bCs/>
                <w:kern w:val="0"/>
                <w:sz w:val="21"/>
                <w:szCs w:val="21"/>
              </w:rPr>
              <w:t>符合性</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30" w:type="dxa"/>
            <w:tcBorders>
              <w:tl2br w:val="nil"/>
              <w:tr2bl w:val="nil"/>
            </w:tcBorders>
            <w:vAlign w:val="center"/>
          </w:tcPr>
          <w:p>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一、全面控制污染物排放</w:t>
            </w:r>
          </w:p>
        </w:tc>
        <w:tc>
          <w:tcPr>
            <w:tcW w:w="879" w:type="dxa"/>
            <w:tcBorders>
              <w:tl2br w:val="nil"/>
              <w:tr2bl w:val="nil"/>
            </w:tcBorders>
            <w:vAlign w:val="center"/>
          </w:tcPr>
          <w:p>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（一）狠抓工业污染防治</w:t>
            </w:r>
          </w:p>
        </w:tc>
        <w:tc>
          <w:tcPr>
            <w:tcW w:w="3686" w:type="dxa"/>
            <w:tcBorders>
              <w:tl2br w:val="nil"/>
              <w:tr2bl w:val="nil"/>
            </w:tcBorders>
            <w:vAlign w:val="center"/>
          </w:tcPr>
          <w:p>
            <w:pPr>
              <w:autoSpaceDE w:val="0"/>
              <w:autoSpaceDN w:val="0"/>
              <w:adjustRightInd w:val="0"/>
              <w:spacing w:line="240" w:lineRule="auto"/>
              <w:ind w:firstLine="0" w:firstLineChars="0"/>
              <w:jc w:val="left"/>
              <w:rPr>
                <w:rFonts w:cs="Times New Roman"/>
                <w:kern w:val="0"/>
                <w:sz w:val="21"/>
                <w:szCs w:val="21"/>
              </w:rPr>
            </w:pPr>
            <w:r>
              <w:rPr>
                <w:rFonts w:cs="Times New Roman"/>
                <w:kern w:val="0"/>
                <w:sz w:val="21"/>
                <w:szCs w:val="21"/>
              </w:rPr>
              <w:t>集中治理工业集聚区水污染。强化经济技术开发区、高新技术产业开发区、出口加工区等工业集聚区污染治理。集聚区内工业废水必须经预处理达到集中处理要求，方可进入污水集中处理设施</w:t>
            </w:r>
          </w:p>
        </w:tc>
        <w:tc>
          <w:tcPr>
            <w:tcW w:w="2236" w:type="dxa"/>
            <w:tcBorders>
              <w:tl2br w:val="nil"/>
              <w:tr2bl w:val="nil"/>
            </w:tcBorders>
            <w:vAlign w:val="center"/>
          </w:tcPr>
          <w:p>
            <w:pPr>
              <w:autoSpaceDE w:val="0"/>
              <w:autoSpaceDN w:val="0"/>
              <w:adjustRightInd w:val="0"/>
              <w:spacing w:line="240" w:lineRule="auto"/>
              <w:ind w:firstLine="0" w:firstLineChars="0"/>
              <w:jc w:val="left"/>
              <w:rPr>
                <w:rFonts w:cs="Times New Roman"/>
                <w:kern w:val="0"/>
                <w:sz w:val="21"/>
                <w:szCs w:val="21"/>
              </w:rPr>
            </w:pPr>
            <w:r>
              <w:rPr>
                <w:rFonts w:cs="Times New Roman"/>
                <w:kern w:val="0"/>
                <w:sz w:val="21"/>
                <w:szCs w:val="21"/>
              </w:rPr>
              <w:t>本工程施工期废水主要来自施工人员在施工作业中产生的生活污水、管道安装完后清管试压排放的废水。运营期无废水产生。</w:t>
            </w:r>
          </w:p>
        </w:tc>
        <w:tc>
          <w:tcPr>
            <w:tcW w:w="864" w:type="dxa"/>
            <w:tcBorders>
              <w:tl2br w:val="nil"/>
              <w:tr2bl w:val="nil"/>
            </w:tcBorders>
            <w:vAlign w:val="center"/>
          </w:tcPr>
          <w:p>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符合</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30" w:type="dxa"/>
            <w:vMerge w:val="restart"/>
            <w:tcBorders>
              <w:tl2br w:val="nil"/>
              <w:tr2bl w:val="nil"/>
            </w:tcBorders>
            <w:vAlign w:val="center"/>
          </w:tcPr>
          <w:p>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二、推动经济结构转型升级</w:t>
            </w:r>
          </w:p>
        </w:tc>
        <w:tc>
          <w:tcPr>
            <w:tcW w:w="879" w:type="dxa"/>
            <w:tcBorders>
              <w:tl2br w:val="nil"/>
              <w:tr2bl w:val="nil"/>
            </w:tcBorders>
            <w:vAlign w:val="center"/>
          </w:tcPr>
          <w:p>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（六）优化</w:t>
            </w:r>
          </w:p>
          <w:p>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空间</w:t>
            </w:r>
          </w:p>
          <w:p>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布局</w:t>
            </w:r>
          </w:p>
        </w:tc>
        <w:tc>
          <w:tcPr>
            <w:tcW w:w="3686" w:type="dxa"/>
            <w:tcBorders>
              <w:tl2br w:val="nil"/>
              <w:tr2bl w:val="nil"/>
            </w:tcBorders>
            <w:vAlign w:val="center"/>
          </w:tcPr>
          <w:p>
            <w:pPr>
              <w:autoSpaceDE w:val="0"/>
              <w:autoSpaceDN w:val="0"/>
              <w:adjustRightInd w:val="0"/>
              <w:spacing w:line="240" w:lineRule="auto"/>
              <w:ind w:firstLine="0" w:firstLineChars="0"/>
              <w:jc w:val="left"/>
              <w:rPr>
                <w:rFonts w:cs="Times New Roman"/>
                <w:kern w:val="0"/>
                <w:sz w:val="21"/>
                <w:szCs w:val="21"/>
              </w:rPr>
            </w:pPr>
            <w:r>
              <w:rPr>
                <w:rFonts w:cs="Times New Roman"/>
                <w:kern w:val="0"/>
                <w:sz w:val="21"/>
                <w:szCs w:val="21"/>
              </w:rPr>
              <w:t>七大重点流域干流沿岸，要严格控制石油加工、化学原料和化学制品制造、医药制造、化学纤维制造、有色金属冶炼、纺织印染等项目环境风险，合理布局生产装置及危险化学品仓储等设施</w:t>
            </w:r>
          </w:p>
        </w:tc>
        <w:tc>
          <w:tcPr>
            <w:tcW w:w="2236" w:type="dxa"/>
            <w:tcBorders>
              <w:tl2br w:val="nil"/>
              <w:tr2bl w:val="nil"/>
            </w:tcBorders>
            <w:vAlign w:val="center"/>
          </w:tcPr>
          <w:p>
            <w:pPr>
              <w:autoSpaceDE w:val="0"/>
              <w:autoSpaceDN w:val="0"/>
              <w:adjustRightInd w:val="0"/>
              <w:spacing w:line="240" w:lineRule="auto"/>
              <w:ind w:firstLine="0" w:firstLineChars="0"/>
              <w:jc w:val="left"/>
              <w:rPr>
                <w:rFonts w:cs="Times New Roman"/>
                <w:kern w:val="0"/>
                <w:sz w:val="21"/>
                <w:szCs w:val="21"/>
              </w:rPr>
            </w:pPr>
            <w:r>
              <w:rPr>
                <w:rFonts w:cs="Times New Roman"/>
                <w:sz w:val="21"/>
                <w:szCs w:val="21"/>
              </w:rPr>
              <w:t>本工程线路全线均在潍坊市</w:t>
            </w:r>
            <w:r>
              <w:rPr>
                <w:rFonts w:hint="eastAsia" w:cs="Times New Roman"/>
                <w:sz w:val="21"/>
                <w:szCs w:val="21"/>
              </w:rPr>
              <w:t>潍城区</w:t>
            </w:r>
            <w:r>
              <w:rPr>
                <w:rFonts w:cs="Times New Roman"/>
                <w:sz w:val="21"/>
                <w:szCs w:val="21"/>
              </w:rPr>
              <w:t>境内，</w:t>
            </w:r>
            <w:r>
              <w:rPr>
                <w:rFonts w:cs="Times New Roman"/>
                <w:kern w:val="0"/>
                <w:sz w:val="21"/>
                <w:szCs w:val="21"/>
              </w:rPr>
              <w:t>不位于七大重点流域干流沿岸</w:t>
            </w:r>
          </w:p>
        </w:tc>
        <w:tc>
          <w:tcPr>
            <w:tcW w:w="864" w:type="dxa"/>
            <w:tcBorders>
              <w:tl2br w:val="nil"/>
              <w:tr2bl w:val="nil"/>
            </w:tcBorders>
            <w:vAlign w:val="center"/>
          </w:tcPr>
          <w:p>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符合</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30" w:type="dxa"/>
            <w:vMerge w:val="continue"/>
            <w:tcBorders>
              <w:tl2br w:val="nil"/>
              <w:tr2bl w:val="nil"/>
            </w:tcBorders>
            <w:vAlign w:val="center"/>
          </w:tcPr>
          <w:p>
            <w:pPr>
              <w:widowControl/>
              <w:spacing w:line="240" w:lineRule="auto"/>
              <w:ind w:firstLine="0" w:firstLineChars="0"/>
              <w:jc w:val="left"/>
              <w:rPr>
                <w:rFonts w:cs="Times New Roman"/>
                <w:kern w:val="0"/>
                <w:sz w:val="21"/>
                <w:szCs w:val="21"/>
              </w:rPr>
            </w:pPr>
          </w:p>
        </w:tc>
        <w:tc>
          <w:tcPr>
            <w:tcW w:w="879" w:type="dxa"/>
            <w:tcBorders>
              <w:tl2br w:val="nil"/>
              <w:tr2bl w:val="nil"/>
            </w:tcBorders>
            <w:vAlign w:val="center"/>
          </w:tcPr>
          <w:p>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（七）推进</w:t>
            </w:r>
          </w:p>
          <w:p>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循环</w:t>
            </w:r>
          </w:p>
          <w:p>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发展</w:t>
            </w:r>
          </w:p>
        </w:tc>
        <w:tc>
          <w:tcPr>
            <w:tcW w:w="3686" w:type="dxa"/>
            <w:tcBorders>
              <w:tl2br w:val="nil"/>
              <w:tr2bl w:val="nil"/>
            </w:tcBorders>
            <w:vAlign w:val="center"/>
          </w:tcPr>
          <w:p>
            <w:pPr>
              <w:autoSpaceDE w:val="0"/>
              <w:autoSpaceDN w:val="0"/>
              <w:adjustRightInd w:val="0"/>
              <w:spacing w:line="240" w:lineRule="auto"/>
              <w:ind w:firstLine="0" w:firstLineChars="0"/>
              <w:jc w:val="left"/>
              <w:rPr>
                <w:rFonts w:cs="Times New Roman"/>
                <w:kern w:val="0"/>
                <w:sz w:val="21"/>
                <w:szCs w:val="21"/>
              </w:rPr>
            </w:pPr>
            <w:r>
              <w:rPr>
                <w:rFonts w:cs="Times New Roman"/>
                <w:kern w:val="0"/>
                <w:sz w:val="21"/>
                <w:szCs w:val="21"/>
              </w:rPr>
              <w:t>加强工业水循环利用。鼓励钢铁、纺织印染、造纸、石油石化、化工、制革等高耗水企业废水深度处理回用</w:t>
            </w:r>
          </w:p>
        </w:tc>
        <w:tc>
          <w:tcPr>
            <w:tcW w:w="2236" w:type="dxa"/>
            <w:tcBorders>
              <w:tl2br w:val="nil"/>
              <w:tr2bl w:val="nil"/>
            </w:tcBorders>
            <w:vAlign w:val="center"/>
          </w:tcPr>
          <w:p>
            <w:pPr>
              <w:autoSpaceDE w:val="0"/>
              <w:autoSpaceDN w:val="0"/>
              <w:adjustRightInd w:val="0"/>
              <w:spacing w:line="240" w:lineRule="auto"/>
              <w:ind w:firstLine="0" w:firstLineChars="0"/>
              <w:jc w:val="left"/>
              <w:rPr>
                <w:rFonts w:cs="Times New Roman"/>
                <w:kern w:val="0"/>
                <w:sz w:val="21"/>
                <w:szCs w:val="21"/>
              </w:rPr>
            </w:pPr>
            <w:r>
              <w:rPr>
                <w:rFonts w:cs="Times New Roman"/>
                <w:kern w:val="0"/>
                <w:sz w:val="21"/>
                <w:szCs w:val="21"/>
              </w:rPr>
              <w:t>运营期无废水产生。</w:t>
            </w:r>
          </w:p>
        </w:tc>
        <w:tc>
          <w:tcPr>
            <w:tcW w:w="864" w:type="dxa"/>
            <w:tcBorders>
              <w:tl2br w:val="nil"/>
              <w:tr2bl w:val="nil"/>
            </w:tcBorders>
            <w:vAlign w:val="center"/>
          </w:tcPr>
          <w:p>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符合</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30" w:type="dxa"/>
            <w:tcBorders>
              <w:tl2br w:val="nil"/>
              <w:tr2bl w:val="nil"/>
            </w:tcBorders>
            <w:vAlign w:val="center"/>
          </w:tcPr>
          <w:p>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九、明确和落实各方责任</w:t>
            </w:r>
          </w:p>
        </w:tc>
        <w:tc>
          <w:tcPr>
            <w:tcW w:w="879" w:type="dxa"/>
            <w:tcBorders>
              <w:tl2br w:val="nil"/>
              <w:tr2bl w:val="nil"/>
            </w:tcBorders>
            <w:vAlign w:val="center"/>
          </w:tcPr>
          <w:p>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（三十一）落实排污单位主体责任</w:t>
            </w:r>
          </w:p>
        </w:tc>
        <w:tc>
          <w:tcPr>
            <w:tcW w:w="3686" w:type="dxa"/>
            <w:tcBorders>
              <w:tl2br w:val="nil"/>
              <w:tr2bl w:val="nil"/>
            </w:tcBorders>
            <w:vAlign w:val="center"/>
          </w:tcPr>
          <w:p>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各类排污单要严格执行环保法律法规和制度，加强污染治理设施建设和运行管理，开展自行监测，落实治污减排、环境风险防范等责任</w:t>
            </w:r>
          </w:p>
        </w:tc>
        <w:tc>
          <w:tcPr>
            <w:tcW w:w="2236" w:type="dxa"/>
            <w:tcBorders>
              <w:tl2br w:val="nil"/>
              <w:tr2bl w:val="nil"/>
            </w:tcBorders>
            <w:vAlign w:val="center"/>
          </w:tcPr>
          <w:p>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本项目运营期加强环境管理与监测</w:t>
            </w:r>
          </w:p>
        </w:tc>
        <w:tc>
          <w:tcPr>
            <w:tcW w:w="864" w:type="dxa"/>
            <w:tcBorders>
              <w:tl2br w:val="nil"/>
              <w:tr2bl w:val="nil"/>
            </w:tcBorders>
            <w:vAlign w:val="center"/>
          </w:tcPr>
          <w:p>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符合</w:t>
            </w:r>
          </w:p>
        </w:tc>
      </w:tr>
    </w:tbl>
    <w:p>
      <w:pPr>
        <w:pStyle w:val="5"/>
        <w:rPr>
          <w:rFonts w:eastAsiaTheme="minorEastAsia"/>
        </w:rPr>
      </w:pPr>
      <w:r>
        <w:rPr>
          <w:rFonts w:eastAsiaTheme="minorEastAsia"/>
        </w:rPr>
        <w:t>与《大气污染防治行动计划》符合性分析</w:t>
      </w:r>
    </w:p>
    <w:p>
      <w:pPr>
        <w:ind w:firstLine="480"/>
        <w:rPr>
          <w:rFonts w:cs="Times New Roman"/>
        </w:rPr>
      </w:pPr>
      <w:r>
        <w:rPr>
          <w:rFonts w:cs="Times New Roman"/>
        </w:rPr>
        <w:t>2013年9月，国务院印发《国务院关于印发大气污染防治行动计划的通知》（国发[2013]37号），本项目与该计划的符合性分析见</w:t>
      </w:r>
      <w:r>
        <w:rPr>
          <w:rFonts w:hint="eastAsia" w:cs="Times New Roman"/>
        </w:rPr>
        <w:t>表8.2-2</w:t>
      </w:r>
      <w:r>
        <w:rPr>
          <w:rFonts w:cs="Times New Roman"/>
        </w:rPr>
        <w:t>。</w:t>
      </w:r>
    </w:p>
    <w:p>
      <w:pPr>
        <w:keepNext/>
        <w:spacing w:beforeLines="30" w:afterLines="30"/>
        <w:ind w:firstLine="482"/>
        <w:jc w:val="center"/>
        <w:rPr>
          <w:rFonts w:cs="Times New Roman"/>
          <w:b/>
          <w:bCs/>
          <w:szCs w:val="20"/>
        </w:rPr>
      </w:pPr>
      <w:r>
        <w:rPr>
          <w:rFonts w:cs="Times New Roman"/>
          <w:b/>
          <w:bCs/>
          <w:szCs w:val="20"/>
        </w:rPr>
        <w:t>表</w:t>
      </w:r>
      <w:r>
        <w:rPr>
          <w:rFonts w:hint="eastAsia" w:cs="Times New Roman"/>
          <w:b/>
          <w:bCs/>
          <w:szCs w:val="20"/>
        </w:rPr>
        <w:t>8.2</w:t>
      </w:r>
      <w:r>
        <w:rPr>
          <w:rFonts w:hint="eastAsia" w:cs="Times New Roman"/>
          <w:b/>
          <w:bCs/>
        </w:rPr>
        <w:t>-2</w:t>
      </w:r>
      <w:r>
        <w:rPr>
          <w:rFonts w:cs="Times New Roman"/>
          <w:b/>
          <w:bCs/>
          <w:szCs w:val="20"/>
        </w:rPr>
        <w:t xml:space="preserve"> 本项目与《大气污染防治行动计划》符合性分析</w:t>
      </w:r>
    </w:p>
    <w:tbl>
      <w:tblPr>
        <w:tblStyle w:val="8"/>
        <w:tblW w:w="8613"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384"/>
        <w:gridCol w:w="1276"/>
        <w:gridCol w:w="3118"/>
        <w:gridCol w:w="1985"/>
        <w:gridCol w:w="850"/>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blHeader/>
        </w:trPr>
        <w:tc>
          <w:tcPr>
            <w:tcW w:w="5778" w:type="dxa"/>
            <w:gridSpan w:val="3"/>
            <w:tcBorders>
              <w:tl2br w:val="nil"/>
              <w:tr2bl w:val="nil"/>
            </w:tcBorders>
            <w:vAlign w:val="center"/>
          </w:tcPr>
          <w:p>
            <w:pPr>
              <w:autoSpaceDE w:val="0"/>
              <w:autoSpaceDN w:val="0"/>
              <w:adjustRightInd w:val="0"/>
              <w:spacing w:line="240" w:lineRule="auto"/>
              <w:ind w:firstLine="0" w:firstLineChars="0"/>
              <w:jc w:val="center"/>
              <w:rPr>
                <w:rFonts w:cs="Times New Roman"/>
                <w:b/>
                <w:bCs/>
                <w:kern w:val="0"/>
                <w:sz w:val="21"/>
                <w:szCs w:val="21"/>
              </w:rPr>
            </w:pPr>
            <w:r>
              <w:rPr>
                <w:rFonts w:cs="Times New Roman"/>
                <w:b/>
                <w:bCs/>
                <w:kern w:val="0"/>
                <w:sz w:val="21"/>
                <w:szCs w:val="21"/>
              </w:rPr>
              <w:t>《大气污染防治行动计划》</w:t>
            </w:r>
          </w:p>
        </w:tc>
        <w:tc>
          <w:tcPr>
            <w:tcW w:w="1985" w:type="dxa"/>
            <w:tcBorders>
              <w:tl2br w:val="nil"/>
              <w:tr2bl w:val="nil"/>
            </w:tcBorders>
            <w:vAlign w:val="center"/>
          </w:tcPr>
          <w:p>
            <w:pPr>
              <w:autoSpaceDE w:val="0"/>
              <w:autoSpaceDN w:val="0"/>
              <w:adjustRightInd w:val="0"/>
              <w:spacing w:line="240" w:lineRule="auto"/>
              <w:ind w:firstLine="0" w:firstLineChars="0"/>
              <w:jc w:val="center"/>
              <w:rPr>
                <w:rFonts w:cs="Times New Roman"/>
                <w:b/>
                <w:bCs/>
                <w:kern w:val="0"/>
                <w:sz w:val="21"/>
                <w:szCs w:val="21"/>
              </w:rPr>
            </w:pPr>
            <w:r>
              <w:rPr>
                <w:rFonts w:cs="Times New Roman"/>
                <w:b/>
                <w:bCs/>
                <w:kern w:val="0"/>
                <w:sz w:val="21"/>
                <w:szCs w:val="21"/>
              </w:rPr>
              <w:t>本项目情况</w:t>
            </w:r>
          </w:p>
        </w:tc>
        <w:tc>
          <w:tcPr>
            <w:tcW w:w="850" w:type="dxa"/>
            <w:tcBorders>
              <w:tl2br w:val="nil"/>
              <w:tr2bl w:val="nil"/>
            </w:tcBorders>
            <w:vAlign w:val="center"/>
          </w:tcPr>
          <w:p>
            <w:pPr>
              <w:autoSpaceDE w:val="0"/>
              <w:autoSpaceDN w:val="0"/>
              <w:adjustRightInd w:val="0"/>
              <w:spacing w:line="240" w:lineRule="auto"/>
              <w:ind w:firstLine="0" w:firstLineChars="0"/>
              <w:jc w:val="center"/>
              <w:rPr>
                <w:rFonts w:cs="Times New Roman"/>
                <w:b/>
                <w:bCs/>
                <w:kern w:val="0"/>
                <w:sz w:val="21"/>
                <w:szCs w:val="21"/>
              </w:rPr>
            </w:pPr>
            <w:r>
              <w:rPr>
                <w:rFonts w:cs="Times New Roman"/>
                <w:b/>
                <w:bCs/>
                <w:kern w:val="0"/>
                <w:sz w:val="21"/>
                <w:szCs w:val="21"/>
              </w:rPr>
              <w:t>符合性</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84" w:type="dxa"/>
            <w:vMerge w:val="restart"/>
            <w:tcBorders>
              <w:tl2br w:val="nil"/>
              <w:tr2bl w:val="nil"/>
            </w:tcBorders>
            <w:vAlign w:val="center"/>
          </w:tcPr>
          <w:p>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一、加大综合治理力度，减少多污染物排放</w:t>
            </w:r>
          </w:p>
        </w:tc>
        <w:tc>
          <w:tcPr>
            <w:tcW w:w="1276" w:type="dxa"/>
            <w:tcBorders>
              <w:tl2br w:val="nil"/>
              <w:tr2bl w:val="nil"/>
            </w:tcBorders>
            <w:vAlign w:val="center"/>
          </w:tcPr>
          <w:p>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（一）加强工业企业大气污染综合治理</w:t>
            </w:r>
          </w:p>
        </w:tc>
        <w:tc>
          <w:tcPr>
            <w:tcW w:w="3118" w:type="dxa"/>
            <w:tcBorders>
              <w:tl2br w:val="nil"/>
              <w:tr2bl w:val="nil"/>
            </w:tcBorders>
            <w:vAlign w:val="center"/>
          </w:tcPr>
          <w:p>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加快推进集中供热，在化工、造纸、印染、制革、制药等产业集聚区，通过集中建设热电联产机组逐步淘汰分散燃煤锅炉。</w:t>
            </w:r>
          </w:p>
        </w:tc>
        <w:tc>
          <w:tcPr>
            <w:tcW w:w="1985" w:type="dxa"/>
            <w:tcBorders>
              <w:tl2br w:val="nil"/>
              <w:tr2bl w:val="nil"/>
            </w:tcBorders>
            <w:vAlign w:val="center"/>
          </w:tcPr>
          <w:p>
            <w:pPr>
              <w:autoSpaceDE w:val="0"/>
              <w:autoSpaceDN w:val="0"/>
              <w:adjustRightInd w:val="0"/>
              <w:spacing w:line="240" w:lineRule="auto"/>
              <w:ind w:firstLine="0" w:firstLineChars="0"/>
              <w:rPr>
                <w:rFonts w:cs="Times New Roman"/>
                <w:kern w:val="0"/>
                <w:sz w:val="21"/>
                <w:szCs w:val="21"/>
              </w:rPr>
            </w:pPr>
            <w:r>
              <w:rPr>
                <w:rFonts w:cs="Times New Roman"/>
                <w:kern w:val="0"/>
                <w:sz w:val="21"/>
                <w:szCs w:val="21"/>
              </w:rPr>
              <w:t>本工程不使用锅炉。</w:t>
            </w:r>
          </w:p>
        </w:tc>
        <w:tc>
          <w:tcPr>
            <w:tcW w:w="850" w:type="dxa"/>
            <w:tcBorders>
              <w:tl2br w:val="nil"/>
              <w:tr2bl w:val="nil"/>
            </w:tcBorders>
            <w:vAlign w:val="center"/>
          </w:tcPr>
          <w:p>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符合</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84" w:type="dxa"/>
            <w:vMerge w:val="continue"/>
            <w:tcBorders>
              <w:tl2br w:val="nil"/>
              <w:tr2bl w:val="nil"/>
            </w:tcBorders>
            <w:vAlign w:val="center"/>
          </w:tcPr>
          <w:p>
            <w:pPr>
              <w:widowControl/>
              <w:spacing w:line="240" w:lineRule="auto"/>
              <w:ind w:firstLine="0" w:firstLineChars="0"/>
              <w:jc w:val="left"/>
              <w:rPr>
                <w:rFonts w:cs="Times New Roman"/>
                <w:kern w:val="0"/>
                <w:sz w:val="21"/>
                <w:szCs w:val="21"/>
              </w:rPr>
            </w:pPr>
          </w:p>
        </w:tc>
        <w:tc>
          <w:tcPr>
            <w:tcW w:w="1276" w:type="dxa"/>
            <w:tcBorders>
              <w:tl2br w:val="nil"/>
              <w:tr2bl w:val="nil"/>
            </w:tcBorders>
            <w:vAlign w:val="center"/>
          </w:tcPr>
          <w:p>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（二）深化面源污染治理。</w:t>
            </w:r>
          </w:p>
        </w:tc>
        <w:tc>
          <w:tcPr>
            <w:tcW w:w="3118" w:type="dxa"/>
            <w:tcBorders>
              <w:tl2br w:val="nil"/>
              <w:tr2bl w:val="nil"/>
            </w:tcBorders>
            <w:vAlign w:val="center"/>
          </w:tcPr>
          <w:p>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综合整治城市扬尘。加强施工扬尘监管，积极推进绿色施工，施工现场道路应进行地面硬化。</w:t>
            </w:r>
          </w:p>
        </w:tc>
        <w:tc>
          <w:tcPr>
            <w:tcW w:w="1985" w:type="dxa"/>
            <w:tcBorders>
              <w:tl2br w:val="nil"/>
              <w:tr2bl w:val="nil"/>
            </w:tcBorders>
            <w:vAlign w:val="center"/>
          </w:tcPr>
          <w:p>
            <w:pPr>
              <w:autoSpaceDE w:val="0"/>
              <w:autoSpaceDN w:val="0"/>
              <w:adjustRightInd w:val="0"/>
              <w:spacing w:line="240" w:lineRule="auto"/>
              <w:ind w:firstLine="0" w:firstLineChars="0"/>
              <w:rPr>
                <w:rFonts w:cs="Times New Roman"/>
                <w:kern w:val="0"/>
                <w:sz w:val="21"/>
                <w:szCs w:val="21"/>
              </w:rPr>
            </w:pPr>
            <w:r>
              <w:rPr>
                <w:rFonts w:cs="Times New Roman"/>
                <w:kern w:val="0"/>
                <w:sz w:val="21"/>
                <w:szCs w:val="21"/>
              </w:rPr>
              <w:t>本工程施工期采取扬尘治理措施，车辆运输采取密闭措施，及时清扫洒水</w:t>
            </w:r>
          </w:p>
        </w:tc>
        <w:tc>
          <w:tcPr>
            <w:tcW w:w="850" w:type="dxa"/>
            <w:tcBorders>
              <w:tl2br w:val="nil"/>
              <w:tr2bl w:val="nil"/>
            </w:tcBorders>
            <w:vAlign w:val="center"/>
          </w:tcPr>
          <w:p>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符合</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84" w:type="dxa"/>
            <w:tcBorders>
              <w:tl2br w:val="nil"/>
              <w:tr2bl w:val="nil"/>
            </w:tcBorders>
            <w:vAlign w:val="center"/>
          </w:tcPr>
          <w:p>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二、调整优化产业结构，推动产业转型升级</w:t>
            </w:r>
          </w:p>
        </w:tc>
        <w:tc>
          <w:tcPr>
            <w:tcW w:w="1276" w:type="dxa"/>
            <w:tcBorders>
              <w:tl2br w:val="nil"/>
              <w:tr2bl w:val="nil"/>
            </w:tcBorders>
            <w:vAlign w:val="center"/>
          </w:tcPr>
          <w:p>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（四）严控“两高”行业新增产能</w:t>
            </w:r>
          </w:p>
        </w:tc>
        <w:tc>
          <w:tcPr>
            <w:tcW w:w="3118" w:type="dxa"/>
            <w:tcBorders>
              <w:tl2br w:val="nil"/>
              <w:tr2bl w:val="nil"/>
            </w:tcBorders>
            <w:vAlign w:val="center"/>
          </w:tcPr>
          <w:p>
            <w:pPr>
              <w:autoSpaceDE w:val="0"/>
              <w:autoSpaceDN w:val="0"/>
              <w:adjustRightInd w:val="0"/>
              <w:spacing w:line="240" w:lineRule="auto"/>
              <w:ind w:firstLine="0" w:firstLineChars="0"/>
              <w:jc w:val="left"/>
              <w:rPr>
                <w:rFonts w:cs="Times New Roman"/>
                <w:kern w:val="0"/>
                <w:sz w:val="21"/>
                <w:szCs w:val="21"/>
              </w:rPr>
            </w:pPr>
            <w:r>
              <w:rPr>
                <w:rFonts w:cs="Times New Roman"/>
                <w:kern w:val="0"/>
                <w:sz w:val="21"/>
                <w:szCs w:val="21"/>
              </w:rPr>
              <w:t>严格控制“两高”行业新增产能，新、改、扩建项目要实行产能等量或减量置换</w:t>
            </w:r>
          </w:p>
        </w:tc>
        <w:tc>
          <w:tcPr>
            <w:tcW w:w="1985" w:type="dxa"/>
            <w:tcBorders>
              <w:tl2br w:val="nil"/>
              <w:tr2bl w:val="nil"/>
            </w:tcBorders>
            <w:vAlign w:val="center"/>
          </w:tcPr>
          <w:p>
            <w:pPr>
              <w:autoSpaceDE w:val="0"/>
              <w:autoSpaceDN w:val="0"/>
              <w:adjustRightInd w:val="0"/>
              <w:spacing w:line="240" w:lineRule="auto"/>
              <w:ind w:firstLine="0" w:firstLineChars="0"/>
              <w:rPr>
                <w:rFonts w:cs="Times New Roman"/>
                <w:kern w:val="0"/>
                <w:sz w:val="21"/>
                <w:szCs w:val="21"/>
              </w:rPr>
            </w:pPr>
            <w:r>
              <w:rPr>
                <w:rFonts w:cs="Times New Roman"/>
                <w:kern w:val="0"/>
                <w:sz w:val="21"/>
                <w:szCs w:val="21"/>
              </w:rPr>
              <w:t>不属于“两高”行业</w:t>
            </w:r>
          </w:p>
        </w:tc>
        <w:tc>
          <w:tcPr>
            <w:tcW w:w="850" w:type="dxa"/>
            <w:tcBorders>
              <w:tl2br w:val="nil"/>
              <w:tr2bl w:val="nil"/>
            </w:tcBorders>
            <w:vAlign w:val="center"/>
          </w:tcPr>
          <w:p>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符合</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84" w:type="dxa"/>
            <w:tcBorders>
              <w:tl2br w:val="nil"/>
              <w:tr2bl w:val="nil"/>
            </w:tcBorders>
            <w:vAlign w:val="center"/>
          </w:tcPr>
          <w:p>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五、严格节能环保准入，优化产业空间布局</w:t>
            </w:r>
          </w:p>
        </w:tc>
        <w:tc>
          <w:tcPr>
            <w:tcW w:w="1276" w:type="dxa"/>
            <w:tcBorders>
              <w:tl2br w:val="nil"/>
              <w:tr2bl w:val="nil"/>
            </w:tcBorders>
            <w:vAlign w:val="center"/>
          </w:tcPr>
          <w:p>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（十六）调整产业布局</w:t>
            </w:r>
          </w:p>
        </w:tc>
        <w:tc>
          <w:tcPr>
            <w:tcW w:w="3118" w:type="dxa"/>
            <w:tcBorders>
              <w:tl2br w:val="nil"/>
              <w:tr2bl w:val="nil"/>
            </w:tcBorders>
            <w:vAlign w:val="center"/>
          </w:tcPr>
          <w:p>
            <w:pPr>
              <w:autoSpaceDE w:val="0"/>
              <w:autoSpaceDN w:val="0"/>
              <w:adjustRightInd w:val="0"/>
              <w:spacing w:line="240" w:lineRule="auto"/>
              <w:ind w:firstLine="0" w:firstLineChars="0"/>
              <w:jc w:val="left"/>
              <w:rPr>
                <w:rFonts w:cs="Times New Roman"/>
                <w:kern w:val="0"/>
                <w:sz w:val="21"/>
                <w:szCs w:val="21"/>
              </w:rPr>
            </w:pPr>
            <w:r>
              <w:rPr>
                <w:rFonts w:cs="Times New Roman"/>
                <w:kern w:val="0"/>
                <w:sz w:val="21"/>
                <w:szCs w:val="21"/>
              </w:rPr>
              <w:t>所有新、改、扩建项目，必须全</w:t>
            </w:r>
          </w:p>
          <w:p>
            <w:pPr>
              <w:autoSpaceDE w:val="0"/>
              <w:autoSpaceDN w:val="0"/>
              <w:adjustRightInd w:val="0"/>
              <w:spacing w:line="240" w:lineRule="auto"/>
              <w:ind w:firstLine="0" w:firstLineChars="0"/>
              <w:jc w:val="left"/>
              <w:rPr>
                <w:rFonts w:cs="Times New Roman"/>
                <w:kern w:val="0"/>
                <w:sz w:val="21"/>
                <w:szCs w:val="21"/>
              </w:rPr>
            </w:pPr>
            <w:r>
              <w:rPr>
                <w:rFonts w:cs="Times New Roman"/>
                <w:kern w:val="0"/>
                <w:sz w:val="21"/>
                <w:szCs w:val="21"/>
              </w:rPr>
              <w:t>部进行环境影响评价；未通过环境影响评价审批的，一律不准开工建设</w:t>
            </w:r>
          </w:p>
        </w:tc>
        <w:tc>
          <w:tcPr>
            <w:tcW w:w="1985" w:type="dxa"/>
            <w:tcBorders>
              <w:tl2br w:val="nil"/>
              <w:tr2bl w:val="nil"/>
            </w:tcBorders>
            <w:vAlign w:val="center"/>
          </w:tcPr>
          <w:p>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本项目依法进行环境影响评价</w:t>
            </w:r>
          </w:p>
        </w:tc>
        <w:tc>
          <w:tcPr>
            <w:tcW w:w="850" w:type="dxa"/>
            <w:tcBorders>
              <w:tl2br w:val="nil"/>
              <w:tr2bl w:val="nil"/>
            </w:tcBorders>
            <w:vAlign w:val="center"/>
          </w:tcPr>
          <w:p>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符合</w:t>
            </w:r>
          </w:p>
        </w:tc>
      </w:tr>
    </w:tbl>
    <w:p>
      <w:pPr>
        <w:pStyle w:val="5"/>
        <w:rPr>
          <w:rFonts w:eastAsiaTheme="minorEastAsia"/>
        </w:rPr>
      </w:pPr>
      <w:r>
        <w:rPr>
          <w:rFonts w:eastAsiaTheme="minorEastAsia"/>
        </w:rPr>
        <w:t>与环发[2012]98号文符合性分析</w:t>
      </w:r>
    </w:p>
    <w:p>
      <w:pPr>
        <w:ind w:firstLine="480"/>
        <w:rPr>
          <w:rFonts w:cs="Times New Roman"/>
        </w:rPr>
      </w:pPr>
      <w:r>
        <w:rPr>
          <w:rFonts w:cs="Times New Roman"/>
        </w:rPr>
        <w:t>国家环保部以环发[2012]98号文的形式发布了《关于切实加强风险防范严格环境影响评价管理的通知》，本项目建设与之相对应的符合性分析，详见</w:t>
      </w:r>
      <w:r>
        <w:rPr>
          <w:rFonts w:hint="eastAsia" w:cs="Times New Roman"/>
        </w:rPr>
        <w:t>表8.2-3</w:t>
      </w:r>
      <w:r>
        <w:rPr>
          <w:rFonts w:cs="Times New Roman"/>
        </w:rPr>
        <w:t>。</w:t>
      </w:r>
    </w:p>
    <w:p>
      <w:pPr>
        <w:pStyle w:val="6"/>
        <w:spacing w:before="72" w:after="72"/>
        <w:ind w:firstLine="480"/>
        <w:jc w:val="center"/>
        <w:rPr>
          <w:rFonts w:ascii="Times New Roman" w:hAnsi="Times New Roman" w:cs="Times New Roman" w:eastAsiaTheme="minorEastAsia"/>
          <w:b/>
          <w:bCs/>
          <w:color w:val="auto"/>
        </w:rPr>
      </w:pPr>
      <w:r>
        <w:rPr>
          <w:rFonts w:ascii="Times New Roman" w:hAnsi="Times New Roman" w:cs="Times New Roman" w:eastAsiaTheme="minorEastAsia"/>
          <w:b/>
          <w:bCs/>
          <w:color w:val="auto"/>
        </w:rPr>
        <w:t>表</w:t>
      </w:r>
      <w:r>
        <w:rPr>
          <w:rFonts w:hint="eastAsia" w:ascii="Times New Roman" w:hAnsi="Times New Roman" w:cs="Times New Roman" w:eastAsiaTheme="minorEastAsia"/>
          <w:b/>
          <w:bCs/>
          <w:color w:val="auto"/>
        </w:rPr>
        <w:t>8.2</w:t>
      </w:r>
      <w:r>
        <w:rPr>
          <w:rFonts w:ascii="Times New Roman" w:hAnsi="Times New Roman" w:cs="Times New Roman" w:eastAsiaTheme="minorEastAsia"/>
          <w:b/>
          <w:bCs/>
          <w:color w:val="auto"/>
        </w:rPr>
        <w:t>-3  项目建设与环发[2012]98号文符合性一览表</w:t>
      </w:r>
    </w:p>
    <w:tbl>
      <w:tblPr>
        <w:tblStyle w:val="7"/>
        <w:tblW w:w="8610"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644"/>
        <w:gridCol w:w="2974"/>
        <w:gridCol w:w="99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44" w:type="dxa"/>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环发[2012]98号文中的要求</w:t>
            </w:r>
          </w:p>
        </w:tc>
        <w:tc>
          <w:tcPr>
            <w:tcW w:w="2974" w:type="dxa"/>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拟建项目情况</w:t>
            </w:r>
          </w:p>
        </w:tc>
        <w:tc>
          <w:tcPr>
            <w:tcW w:w="992" w:type="dxa"/>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符合性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44" w:type="dxa"/>
            <w:tcBorders>
              <w:tl2br w:val="nil"/>
              <w:tr2bl w:val="nil"/>
            </w:tcBorders>
            <w:vAlign w:val="center"/>
          </w:tcPr>
          <w:p>
            <w:pPr>
              <w:spacing w:line="240" w:lineRule="auto"/>
              <w:ind w:firstLine="0" w:firstLineChars="0"/>
              <w:rPr>
                <w:rFonts w:cs="Times New Roman"/>
                <w:sz w:val="21"/>
                <w:szCs w:val="21"/>
              </w:rPr>
            </w:pPr>
            <w:r>
              <w:rPr>
                <w:rFonts w:cs="Times New Roman"/>
                <w:sz w:val="21"/>
                <w:szCs w:val="21"/>
              </w:rPr>
              <w:t>进一步提高对风险防范工作重要性的认识</w:t>
            </w:r>
          </w:p>
        </w:tc>
        <w:tc>
          <w:tcPr>
            <w:tcW w:w="2974" w:type="dxa"/>
            <w:tcBorders>
              <w:tl2br w:val="nil"/>
              <w:tr2bl w:val="nil"/>
            </w:tcBorders>
            <w:vAlign w:val="center"/>
          </w:tcPr>
          <w:p>
            <w:pPr>
              <w:spacing w:line="240" w:lineRule="auto"/>
              <w:ind w:firstLine="0" w:firstLineChars="0"/>
              <w:rPr>
                <w:rFonts w:cs="Times New Roman"/>
                <w:sz w:val="21"/>
                <w:szCs w:val="21"/>
              </w:rPr>
            </w:pPr>
            <w:r>
              <w:rPr>
                <w:rFonts w:cs="Times New Roman"/>
                <w:sz w:val="21"/>
                <w:szCs w:val="21"/>
              </w:rPr>
              <w:t>建设单位拟制定事故风险应急预案，保证一旦发生风险事故，可第一时间进行应急响应。</w:t>
            </w:r>
          </w:p>
        </w:tc>
        <w:tc>
          <w:tcPr>
            <w:tcW w:w="992"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44" w:type="dxa"/>
            <w:tcBorders>
              <w:tl2br w:val="nil"/>
              <w:tr2bl w:val="nil"/>
            </w:tcBorders>
            <w:vAlign w:val="center"/>
          </w:tcPr>
          <w:p>
            <w:pPr>
              <w:spacing w:line="240" w:lineRule="auto"/>
              <w:ind w:firstLine="0" w:firstLineChars="0"/>
              <w:rPr>
                <w:rFonts w:cs="Times New Roman"/>
                <w:sz w:val="21"/>
                <w:szCs w:val="21"/>
              </w:rPr>
            </w:pPr>
            <w:r>
              <w:rPr>
                <w:rFonts w:cs="Times New Roman"/>
                <w:sz w:val="21"/>
                <w:szCs w:val="21"/>
              </w:rPr>
              <w:t>在环境风险防控重点区域如居民集中区、医院和学校附近、重要水源涵养生态功能区等，以及因环境污染导致环境质量不能稳定达标的区域内，禁止新建或扩建可能引发环境风险的项目。</w:t>
            </w:r>
          </w:p>
        </w:tc>
        <w:tc>
          <w:tcPr>
            <w:tcW w:w="2974" w:type="dxa"/>
            <w:tcBorders>
              <w:tl2br w:val="nil"/>
              <w:tr2bl w:val="nil"/>
            </w:tcBorders>
            <w:vAlign w:val="center"/>
          </w:tcPr>
          <w:p>
            <w:pPr>
              <w:spacing w:line="240" w:lineRule="auto"/>
              <w:ind w:firstLine="0" w:firstLineChars="0"/>
              <w:rPr>
                <w:rFonts w:cs="Times New Roman"/>
                <w:sz w:val="21"/>
                <w:szCs w:val="21"/>
              </w:rPr>
            </w:pPr>
            <w:r>
              <w:rPr>
                <w:rFonts w:cs="Times New Roman"/>
                <w:sz w:val="21"/>
                <w:szCs w:val="21"/>
              </w:rPr>
              <w:t>拟建工程营运期正常情况下不会引发环境风险。</w:t>
            </w:r>
          </w:p>
        </w:tc>
        <w:tc>
          <w:tcPr>
            <w:tcW w:w="992"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44" w:type="dxa"/>
            <w:tcBorders>
              <w:tl2br w:val="nil"/>
              <w:tr2bl w:val="nil"/>
            </w:tcBorders>
            <w:vAlign w:val="center"/>
          </w:tcPr>
          <w:p>
            <w:pPr>
              <w:spacing w:line="240" w:lineRule="auto"/>
              <w:ind w:firstLine="0" w:firstLineChars="0"/>
              <w:rPr>
                <w:rFonts w:cs="Times New Roman"/>
                <w:sz w:val="21"/>
                <w:szCs w:val="21"/>
              </w:rPr>
            </w:pPr>
            <w:r>
              <w:rPr>
                <w:rFonts w:cs="Times New Roman"/>
                <w:sz w:val="21"/>
                <w:szCs w:val="21"/>
              </w:rPr>
              <w:t>对“未批先建”、建设过程中擅自作出重大变更、“久拖不验”、“未验先投"等违法行为，要严格依法查处。企业建设项目环境违法问题严重的，对该企业及其上级集团实行环评限批。</w:t>
            </w:r>
          </w:p>
        </w:tc>
        <w:tc>
          <w:tcPr>
            <w:tcW w:w="2974" w:type="dxa"/>
            <w:tcBorders>
              <w:tl2br w:val="nil"/>
              <w:tr2bl w:val="nil"/>
            </w:tcBorders>
            <w:vAlign w:val="center"/>
          </w:tcPr>
          <w:p>
            <w:pPr>
              <w:spacing w:line="240" w:lineRule="auto"/>
              <w:ind w:firstLine="0" w:firstLineChars="0"/>
              <w:rPr>
                <w:rFonts w:cs="Times New Roman"/>
                <w:sz w:val="21"/>
                <w:szCs w:val="21"/>
              </w:rPr>
            </w:pPr>
            <w:r>
              <w:rPr>
                <w:rFonts w:cs="Times New Roman"/>
                <w:sz w:val="21"/>
                <w:szCs w:val="21"/>
              </w:rPr>
              <w:t>现有</w:t>
            </w:r>
            <w:r>
              <w:rPr>
                <w:rFonts w:hint="eastAsia" w:cs="Times New Roman"/>
                <w:sz w:val="21"/>
                <w:szCs w:val="21"/>
              </w:rPr>
              <w:t>淄青线</w:t>
            </w:r>
            <w:r>
              <w:rPr>
                <w:rFonts w:cs="Times New Roman"/>
                <w:sz w:val="21"/>
                <w:szCs w:val="21"/>
              </w:rPr>
              <w:t>项目于</w:t>
            </w:r>
            <w:r>
              <w:rPr>
                <w:rFonts w:hint="eastAsia" w:cs="Times New Roman"/>
                <w:sz w:val="21"/>
                <w:szCs w:val="21"/>
              </w:rPr>
              <w:t>2002年5月委托中国石化集团抚顺石油化工研究院编制了《齐鲁石化-青岛输气管道工程环境影响报告书》，并于6月11日取得了山东省环境保护局关于齐鲁石化-青岛输气管道工程环境影响评价执行标准的函（鲁环函【2002】157号）</w:t>
            </w:r>
          </w:p>
        </w:tc>
        <w:tc>
          <w:tcPr>
            <w:tcW w:w="992"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符合</w:t>
            </w:r>
          </w:p>
        </w:tc>
      </w:tr>
    </w:tbl>
    <w:p>
      <w:pPr>
        <w:ind w:firstLine="480"/>
        <w:rPr>
          <w:rFonts w:cs="Times New Roman"/>
        </w:rPr>
      </w:pPr>
      <w:r>
        <w:rPr>
          <w:rFonts w:cs="Times New Roman"/>
        </w:rPr>
        <w:t>由表</w:t>
      </w:r>
      <w:r>
        <w:rPr>
          <w:rFonts w:hint="eastAsia" w:cs="Times New Roman"/>
        </w:rPr>
        <w:t>8.2</w:t>
      </w:r>
      <w:r>
        <w:rPr>
          <w:rFonts w:cs="Times New Roman"/>
        </w:rPr>
        <w:t>-3可见，拟建工程满足《关于切实加强风险防范严格环境影响评价管理的通知》（环发[2012]98号）中相关要求。</w:t>
      </w:r>
    </w:p>
    <w:p>
      <w:pPr>
        <w:pStyle w:val="5"/>
        <w:rPr>
          <w:rFonts w:eastAsiaTheme="minorEastAsia"/>
        </w:rPr>
      </w:pPr>
      <w:r>
        <w:rPr>
          <w:rFonts w:eastAsiaTheme="minorEastAsia"/>
        </w:rPr>
        <w:t>与地方环保法规政策符合性分析</w:t>
      </w:r>
    </w:p>
    <w:p>
      <w:pPr>
        <w:ind w:firstLine="480"/>
      </w:pPr>
      <w:r>
        <w:rPr>
          <w:rFonts w:hint="eastAsia"/>
        </w:rPr>
        <w:t>1、</w:t>
      </w:r>
      <w:r>
        <w:t xml:space="preserve"> 与鲁政发[2015]31号符合性</w:t>
      </w:r>
    </w:p>
    <w:p>
      <w:pPr>
        <w:ind w:firstLine="480"/>
        <w:rPr>
          <w:rFonts w:cs="Times New Roman"/>
        </w:rPr>
      </w:pPr>
      <w:r>
        <w:rPr>
          <w:rFonts w:cs="Times New Roman"/>
        </w:rPr>
        <w:t>2015年12月，山东省人民政府发布《山东省人民政府关于印发山东省落实&lt;水污染防治行动计划&gt;实施方案的通知》（鲁政发[2015]31号），本项目与该文件符合性分析见</w:t>
      </w:r>
      <w:r>
        <w:rPr>
          <w:rFonts w:hint="eastAsia" w:cs="Times New Roman"/>
        </w:rPr>
        <w:t>表8.2-4</w:t>
      </w:r>
      <w:r>
        <w:rPr>
          <w:rFonts w:cs="Times New Roman"/>
        </w:rPr>
        <w:t>。</w:t>
      </w:r>
    </w:p>
    <w:p>
      <w:pPr>
        <w:pStyle w:val="6"/>
        <w:keepNext/>
        <w:spacing w:before="72" w:after="72"/>
        <w:ind w:firstLine="480"/>
        <w:jc w:val="center"/>
        <w:rPr>
          <w:rFonts w:ascii="Times New Roman" w:hAnsi="Times New Roman" w:cs="Times New Roman" w:eastAsiaTheme="minorEastAsia"/>
          <w:b/>
          <w:bCs/>
          <w:color w:val="auto"/>
        </w:rPr>
      </w:pPr>
      <w:r>
        <w:rPr>
          <w:rFonts w:ascii="Times New Roman" w:hAnsi="Times New Roman" w:cs="Times New Roman" w:eastAsiaTheme="minorEastAsia"/>
          <w:b/>
          <w:bCs/>
          <w:color w:val="auto"/>
        </w:rPr>
        <w:t>表</w:t>
      </w:r>
      <w:r>
        <w:rPr>
          <w:rFonts w:hint="eastAsia" w:ascii="Times New Roman" w:hAnsi="Times New Roman" w:cs="Times New Roman" w:eastAsiaTheme="minorEastAsia"/>
          <w:b/>
          <w:bCs/>
          <w:color w:val="auto"/>
        </w:rPr>
        <w:t>8.2</w:t>
      </w:r>
      <w:r>
        <w:rPr>
          <w:rFonts w:ascii="Times New Roman" w:hAnsi="Times New Roman" w:cs="Times New Roman" w:eastAsiaTheme="minorEastAsia"/>
          <w:b/>
          <w:bCs/>
          <w:color w:val="auto"/>
        </w:rPr>
        <w:noBreakHyphen/>
      </w:r>
      <w:r>
        <w:rPr>
          <w:rFonts w:hint="eastAsia" w:ascii="Times New Roman" w:hAnsi="Times New Roman" w:cs="Times New Roman" w:eastAsiaTheme="minorEastAsia"/>
          <w:b/>
          <w:bCs/>
          <w:color w:val="auto"/>
        </w:rPr>
        <w:t xml:space="preserve">4 </w:t>
      </w:r>
      <w:r>
        <w:rPr>
          <w:rFonts w:ascii="Times New Roman" w:hAnsi="Times New Roman" w:cs="Times New Roman" w:eastAsiaTheme="minorEastAsia"/>
          <w:b/>
          <w:bCs/>
          <w:color w:val="auto"/>
        </w:rPr>
        <w:t xml:space="preserve"> 与</w:t>
      </w:r>
      <w:r>
        <w:rPr>
          <w:rFonts w:ascii="Times New Roman" w:hAnsi="Times New Roman" w:cs="Times New Roman" w:eastAsiaTheme="minorEastAsia"/>
          <w:b/>
          <w:bCs/>
          <w:snapToGrid w:val="0"/>
          <w:color w:val="auto"/>
        </w:rPr>
        <w:t>鲁政发[2015]31号文符合性分析</w:t>
      </w:r>
    </w:p>
    <w:tbl>
      <w:tblPr>
        <w:tblStyle w:val="8"/>
        <w:tblW w:w="8520"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30"/>
        <w:gridCol w:w="932"/>
        <w:gridCol w:w="3466"/>
        <w:gridCol w:w="2399"/>
        <w:gridCol w:w="793"/>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29" w:type="dxa"/>
            <w:gridSpan w:val="3"/>
            <w:tcBorders>
              <w:tl2br w:val="nil"/>
              <w:tr2bl w:val="nil"/>
            </w:tcBorders>
            <w:vAlign w:val="center"/>
          </w:tcPr>
          <w:p>
            <w:pPr>
              <w:pStyle w:val="10"/>
              <w:rPr>
                <w:rFonts w:eastAsiaTheme="minorEastAsia"/>
                <w:b/>
                <w:bCs/>
              </w:rPr>
            </w:pPr>
            <w:r>
              <w:rPr>
                <w:rFonts w:eastAsiaTheme="minorEastAsia"/>
                <w:b/>
                <w:bCs/>
                <w:snapToGrid w:val="0"/>
              </w:rPr>
              <w:t>鲁政发[2015]31号主要任务</w:t>
            </w:r>
          </w:p>
        </w:tc>
        <w:tc>
          <w:tcPr>
            <w:tcW w:w="2400" w:type="dxa"/>
            <w:tcBorders>
              <w:tl2br w:val="nil"/>
              <w:tr2bl w:val="nil"/>
            </w:tcBorders>
            <w:vAlign w:val="center"/>
          </w:tcPr>
          <w:p>
            <w:pPr>
              <w:pStyle w:val="10"/>
              <w:rPr>
                <w:rFonts w:eastAsiaTheme="minorEastAsia"/>
                <w:b/>
                <w:bCs/>
              </w:rPr>
            </w:pPr>
            <w:r>
              <w:rPr>
                <w:rFonts w:eastAsiaTheme="minorEastAsia"/>
                <w:b/>
                <w:bCs/>
              </w:rPr>
              <w:t>本项目情况</w:t>
            </w:r>
          </w:p>
        </w:tc>
        <w:tc>
          <w:tcPr>
            <w:tcW w:w="793" w:type="dxa"/>
            <w:tcBorders>
              <w:tl2br w:val="nil"/>
              <w:tr2bl w:val="nil"/>
            </w:tcBorders>
            <w:vAlign w:val="center"/>
          </w:tcPr>
          <w:p>
            <w:pPr>
              <w:pStyle w:val="10"/>
              <w:ind w:left="-120" w:leftChars="-50" w:right="-120" w:rightChars="-50"/>
              <w:rPr>
                <w:rFonts w:eastAsiaTheme="minorEastAsia"/>
                <w:b/>
                <w:bCs/>
              </w:rPr>
            </w:pPr>
            <w:r>
              <w:rPr>
                <w:rFonts w:eastAsiaTheme="minorEastAsia"/>
                <w:b/>
                <w:bCs/>
              </w:rPr>
              <w:t>符合性</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30" w:type="dxa"/>
            <w:vMerge w:val="restart"/>
            <w:tcBorders>
              <w:tl2br w:val="nil"/>
              <w:tr2bl w:val="nil"/>
            </w:tcBorders>
            <w:vAlign w:val="center"/>
          </w:tcPr>
          <w:p>
            <w:pPr>
              <w:pStyle w:val="10"/>
              <w:rPr>
                <w:rFonts w:eastAsiaTheme="minorEastAsia"/>
              </w:rPr>
            </w:pPr>
            <w:r>
              <w:rPr>
                <w:rFonts w:hint="eastAsia" w:eastAsiaTheme="minorEastAsia"/>
              </w:rPr>
              <w:t>（</w:t>
            </w:r>
            <w:r>
              <w:rPr>
                <w:rFonts w:eastAsiaTheme="minorEastAsia"/>
              </w:rPr>
              <w:t>一</w:t>
            </w:r>
            <w:r>
              <w:rPr>
                <w:rFonts w:hint="eastAsia" w:eastAsiaTheme="minorEastAsia"/>
              </w:rPr>
              <w:t>）</w:t>
            </w:r>
            <w:r>
              <w:rPr>
                <w:rFonts w:eastAsiaTheme="minorEastAsia"/>
              </w:rPr>
              <w:t>实施全过程水污染防治</w:t>
            </w:r>
          </w:p>
        </w:tc>
        <w:tc>
          <w:tcPr>
            <w:tcW w:w="932" w:type="dxa"/>
            <w:vMerge w:val="restart"/>
            <w:tcBorders>
              <w:tl2br w:val="nil"/>
              <w:tr2bl w:val="nil"/>
            </w:tcBorders>
            <w:vAlign w:val="center"/>
          </w:tcPr>
          <w:p>
            <w:pPr>
              <w:pStyle w:val="10"/>
              <w:rPr>
                <w:rFonts w:eastAsiaTheme="minorEastAsia"/>
              </w:rPr>
            </w:pPr>
            <w:r>
              <w:rPr>
                <w:rFonts w:eastAsiaTheme="minorEastAsia"/>
              </w:rPr>
              <w:t>（1）.加强工业污染防治</w:t>
            </w:r>
          </w:p>
        </w:tc>
        <w:tc>
          <w:tcPr>
            <w:tcW w:w="3467" w:type="dxa"/>
            <w:tcBorders>
              <w:tl2br w:val="nil"/>
              <w:tr2bl w:val="nil"/>
            </w:tcBorders>
            <w:vAlign w:val="center"/>
          </w:tcPr>
          <w:p>
            <w:pPr>
              <w:pStyle w:val="10"/>
              <w:jc w:val="left"/>
              <w:rPr>
                <w:rFonts w:eastAsiaTheme="minorEastAsia"/>
              </w:rPr>
            </w:pPr>
            <w:r>
              <w:rPr>
                <w:rFonts w:eastAsiaTheme="minorEastAsia"/>
              </w:rPr>
              <w:t>严格环境准入。各市根据水质目标和主体功能区要求，制定实施差别化区域环境准入政策，从严审批高耗水、高污染物排放、产生有毒有害污染物的建设项目，对造纸、焦化、氮肥、有色金属、印染、农副食品加工、原料药制造、制革、农药、电镀等十大重点行业，实行新</w:t>
            </w:r>
            <w:r>
              <w:rPr>
                <w:rFonts w:hint="eastAsia" w:eastAsiaTheme="minorEastAsia"/>
              </w:rPr>
              <w:t>（</w:t>
            </w:r>
            <w:r>
              <w:rPr>
                <w:rFonts w:eastAsiaTheme="minorEastAsia"/>
              </w:rPr>
              <w:t>改、扩</w:t>
            </w:r>
            <w:r>
              <w:rPr>
                <w:rFonts w:hint="eastAsia" w:eastAsiaTheme="minorEastAsia"/>
              </w:rPr>
              <w:t>）</w:t>
            </w:r>
            <w:r>
              <w:rPr>
                <w:rFonts w:eastAsiaTheme="minorEastAsia"/>
              </w:rPr>
              <w:t>建项目主要污染物排放等量或减量置换，在南水北调重点保护区、集中式饮用水水源涵养区等敏感区域实行产能规模和主要污染物排放减量置换。</w:t>
            </w:r>
          </w:p>
        </w:tc>
        <w:tc>
          <w:tcPr>
            <w:tcW w:w="2400" w:type="dxa"/>
            <w:tcBorders>
              <w:tl2br w:val="nil"/>
              <w:tr2bl w:val="nil"/>
            </w:tcBorders>
            <w:vAlign w:val="center"/>
          </w:tcPr>
          <w:p>
            <w:pPr>
              <w:pStyle w:val="10"/>
              <w:jc w:val="left"/>
              <w:rPr>
                <w:rFonts w:eastAsiaTheme="minorEastAsia"/>
              </w:rPr>
            </w:pPr>
            <w:r>
              <w:rPr>
                <w:rFonts w:eastAsiaTheme="minorEastAsia"/>
              </w:rPr>
              <w:t>符合环境准入，本工程不在南水北调重点保护区，拟建项目运营期正常情况下无废气、废水、噪声、固体废弃物排放。</w:t>
            </w:r>
          </w:p>
        </w:tc>
        <w:tc>
          <w:tcPr>
            <w:tcW w:w="793" w:type="dxa"/>
            <w:tcBorders>
              <w:tl2br w:val="nil"/>
              <w:tr2bl w:val="nil"/>
            </w:tcBorders>
            <w:vAlign w:val="center"/>
          </w:tcPr>
          <w:p>
            <w:pPr>
              <w:pStyle w:val="10"/>
              <w:rPr>
                <w:rFonts w:eastAsiaTheme="minorEastAsia"/>
              </w:rPr>
            </w:pPr>
            <w:r>
              <w:rPr>
                <w:rFonts w:eastAsiaTheme="minorEastAsia"/>
              </w:rPr>
              <w:t>符合</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29" w:type="dxa"/>
            <w:vMerge w:val="continue"/>
            <w:tcBorders>
              <w:tl2br w:val="nil"/>
              <w:tr2bl w:val="nil"/>
            </w:tcBorders>
            <w:vAlign w:val="center"/>
          </w:tcPr>
          <w:p>
            <w:pPr>
              <w:widowControl/>
              <w:spacing w:line="240" w:lineRule="auto"/>
              <w:ind w:firstLine="0" w:firstLineChars="0"/>
              <w:jc w:val="left"/>
              <w:rPr>
                <w:rFonts w:cs="Times New Roman"/>
                <w:kern w:val="0"/>
                <w:sz w:val="21"/>
                <w:szCs w:val="21"/>
              </w:rPr>
            </w:pPr>
          </w:p>
        </w:tc>
        <w:tc>
          <w:tcPr>
            <w:tcW w:w="932" w:type="dxa"/>
            <w:vMerge w:val="continue"/>
            <w:tcBorders>
              <w:tl2br w:val="nil"/>
              <w:tr2bl w:val="nil"/>
            </w:tcBorders>
            <w:vAlign w:val="center"/>
          </w:tcPr>
          <w:p>
            <w:pPr>
              <w:widowControl/>
              <w:spacing w:line="240" w:lineRule="auto"/>
              <w:ind w:firstLine="0" w:firstLineChars="0"/>
              <w:jc w:val="left"/>
              <w:rPr>
                <w:rFonts w:cs="Times New Roman"/>
                <w:kern w:val="0"/>
                <w:sz w:val="21"/>
                <w:szCs w:val="21"/>
              </w:rPr>
            </w:pPr>
          </w:p>
        </w:tc>
        <w:tc>
          <w:tcPr>
            <w:tcW w:w="3467" w:type="dxa"/>
            <w:tcBorders>
              <w:tl2br w:val="nil"/>
              <w:tr2bl w:val="nil"/>
            </w:tcBorders>
            <w:vAlign w:val="center"/>
          </w:tcPr>
          <w:p>
            <w:pPr>
              <w:pStyle w:val="10"/>
              <w:jc w:val="left"/>
              <w:rPr>
                <w:rFonts w:eastAsiaTheme="minorEastAsia"/>
              </w:rPr>
            </w:pPr>
            <w:r>
              <w:rPr>
                <w:rFonts w:eastAsiaTheme="minorEastAsia"/>
              </w:rPr>
              <w:t>2017年年底前，各类工业集聚区要全面实现污水集中处理并安装自动在线监控装置，对逾期未完成的，实施涉水新建项目“限批”，并依照有关规定撤销其园区资格。集聚区内工业废水必须经预处理达到集中处理要求，方可进入污水集中处理设施。化工园区、涉重金属工业园区要逐步推行“一企一管”和地上管廊的建设与改造。</w:t>
            </w:r>
          </w:p>
        </w:tc>
        <w:tc>
          <w:tcPr>
            <w:tcW w:w="2400" w:type="dxa"/>
            <w:tcBorders>
              <w:tl2br w:val="nil"/>
              <w:tr2bl w:val="nil"/>
            </w:tcBorders>
            <w:vAlign w:val="center"/>
          </w:tcPr>
          <w:p>
            <w:pPr>
              <w:pStyle w:val="10"/>
              <w:jc w:val="left"/>
              <w:rPr>
                <w:rFonts w:eastAsiaTheme="minorEastAsia"/>
              </w:rPr>
            </w:pPr>
            <w:r>
              <w:rPr>
                <w:rFonts w:eastAsiaTheme="minorEastAsia"/>
              </w:rPr>
              <w:t>本工程施工期废水主要来自施工人员在施工作业中产生的生活污水、管道安装完后清管试压排放的废水。运营期无废水产生。</w:t>
            </w:r>
          </w:p>
        </w:tc>
        <w:tc>
          <w:tcPr>
            <w:tcW w:w="793" w:type="dxa"/>
            <w:tcBorders>
              <w:tl2br w:val="nil"/>
              <w:tr2bl w:val="nil"/>
            </w:tcBorders>
            <w:vAlign w:val="center"/>
          </w:tcPr>
          <w:p>
            <w:pPr>
              <w:pStyle w:val="10"/>
              <w:rPr>
                <w:rFonts w:eastAsiaTheme="minorEastAsia"/>
              </w:rPr>
            </w:pPr>
            <w:r>
              <w:rPr>
                <w:rFonts w:eastAsiaTheme="minorEastAsia"/>
              </w:rPr>
              <w:t>符合</w:t>
            </w:r>
          </w:p>
        </w:tc>
      </w:tr>
    </w:tbl>
    <w:p>
      <w:pPr>
        <w:ind w:firstLine="480"/>
      </w:pPr>
      <w:r>
        <w:rPr>
          <w:rFonts w:hint="eastAsia"/>
        </w:rPr>
        <w:t>2、与《山东省扬尘污染防治管理办法》符合性分析</w:t>
      </w:r>
    </w:p>
    <w:p>
      <w:pPr>
        <w:ind w:firstLine="480"/>
        <w:rPr>
          <w:rFonts w:cs="Times New Roman"/>
        </w:rPr>
      </w:pPr>
      <w:r>
        <w:rPr>
          <w:rFonts w:cs="Times New Roman"/>
        </w:rPr>
        <w:t>2018年1月，山东省人民政府令第311号修订《山东省扬尘污染防治管理办法》，本项目与该文件符合性分析见</w:t>
      </w:r>
      <w:r>
        <w:rPr>
          <w:rFonts w:hint="eastAsia" w:cs="Times New Roman"/>
        </w:rPr>
        <w:t>表8.2-5</w:t>
      </w:r>
      <w:r>
        <w:rPr>
          <w:rFonts w:cs="Times New Roman"/>
        </w:rPr>
        <w:t>。</w:t>
      </w:r>
    </w:p>
    <w:p>
      <w:pPr>
        <w:pStyle w:val="6"/>
        <w:keepNext/>
        <w:spacing w:before="72" w:after="72"/>
        <w:ind w:firstLine="480"/>
        <w:jc w:val="center"/>
        <w:rPr>
          <w:rFonts w:ascii="Times New Roman" w:hAnsi="Times New Roman" w:cs="Times New Roman" w:eastAsiaTheme="minorEastAsia"/>
          <w:b/>
          <w:bCs/>
          <w:color w:val="auto"/>
        </w:rPr>
      </w:pPr>
      <w:r>
        <w:rPr>
          <w:rFonts w:ascii="Times New Roman" w:hAnsi="Times New Roman" w:cs="Times New Roman" w:eastAsiaTheme="minorEastAsia"/>
          <w:b/>
          <w:bCs/>
          <w:color w:val="auto"/>
        </w:rPr>
        <w:t xml:space="preserve">表 </w:t>
      </w:r>
      <w:r>
        <w:rPr>
          <w:rFonts w:hint="eastAsia" w:ascii="Times New Roman" w:hAnsi="Times New Roman" w:cs="Times New Roman" w:eastAsiaTheme="minorEastAsia"/>
          <w:b/>
          <w:bCs/>
          <w:color w:val="auto"/>
        </w:rPr>
        <w:t>8.2</w:t>
      </w:r>
      <w:r>
        <w:rPr>
          <w:rFonts w:ascii="Times New Roman" w:hAnsi="Times New Roman" w:cs="Times New Roman" w:eastAsiaTheme="minorEastAsia"/>
          <w:b/>
          <w:bCs/>
          <w:color w:val="auto"/>
        </w:rPr>
        <w:noBreakHyphen/>
      </w:r>
      <w:r>
        <w:rPr>
          <w:rFonts w:ascii="Times New Roman" w:hAnsi="Times New Roman" w:cs="Times New Roman" w:eastAsiaTheme="minorEastAsia"/>
          <w:b/>
          <w:bCs/>
          <w:color w:val="auto"/>
        </w:rPr>
        <w:t>5  与《山东省扬尘污染防治管理办法》</w:t>
      </w:r>
      <w:r>
        <w:rPr>
          <w:rFonts w:ascii="Times New Roman" w:hAnsi="Times New Roman" w:cs="Times New Roman" w:eastAsiaTheme="minorEastAsia"/>
          <w:b/>
          <w:bCs/>
          <w:snapToGrid w:val="0"/>
          <w:color w:val="auto"/>
        </w:rPr>
        <w:t>符合性分析</w:t>
      </w:r>
    </w:p>
    <w:tbl>
      <w:tblPr>
        <w:tblStyle w:val="8"/>
        <w:tblW w:w="8613"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786"/>
        <w:gridCol w:w="2941"/>
        <w:gridCol w:w="886"/>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blHeader/>
        </w:trPr>
        <w:tc>
          <w:tcPr>
            <w:tcW w:w="4786" w:type="dxa"/>
            <w:tcBorders>
              <w:tl2br w:val="nil"/>
              <w:tr2bl w:val="nil"/>
            </w:tcBorders>
            <w:vAlign w:val="center"/>
          </w:tcPr>
          <w:p>
            <w:pPr>
              <w:pStyle w:val="10"/>
              <w:rPr>
                <w:rFonts w:eastAsiaTheme="minorEastAsia"/>
                <w:b/>
                <w:bCs/>
              </w:rPr>
            </w:pPr>
            <w:r>
              <w:rPr>
                <w:rFonts w:eastAsiaTheme="minorEastAsia"/>
                <w:b/>
                <w:bCs/>
              </w:rPr>
              <w:t>《山东省扬尘污染防治管理办法》</w:t>
            </w:r>
            <w:r>
              <w:rPr>
                <w:rFonts w:eastAsiaTheme="minorEastAsia"/>
                <w:b/>
                <w:bCs/>
                <w:snapToGrid w:val="0"/>
              </w:rPr>
              <w:t>主要要求</w:t>
            </w:r>
          </w:p>
        </w:tc>
        <w:tc>
          <w:tcPr>
            <w:tcW w:w="2941" w:type="dxa"/>
            <w:tcBorders>
              <w:tl2br w:val="nil"/>
              <w:tr2bl w:val="nil"/>
            </w:tcBorders>
            <w:vAlign w:val="center"/>
          </w:tcPr>
          <w:p>
            <w:pPr>
              <w:pStyle w:val="10"/>
              <w:rPr>
                <w:rFonts w:eastAsiaTheme="minorEastAsia"/>
                <w:b/>
                <w:bCs/>
              </w:rPr>
            </w:pPr>
            <w:r>
              <w:rPr>
                <w:rFonts w:eastAsiaTheme="minorEastAsia"/>
                <w:b/>
                <w:bCs/>
              </w:rPr>
              <w:t>本项目情况</w:t>
            </w:r>
          </w:p>
        </w:tc>
        <w:tc>
          <w:tcPr>
            <w:tcW w:w="886" w:type="dxa"/>
            <w:tcBorders>
              <w:tl2br w:val="nil"/>
              <w:tr2bl w:val="nil"/>
            </w:tcBorders>
            <w:vAlign w:val="center"/>
          </w:tcPr>
          <w:p>
            <w:pPr>
              <w:pStyle w:val="10"/>
              <w:rPr>
                <w:rFonts w:eastAsiaTheme="minorEastAsia"/>
                <w:b/>
                <w:bCs/>
              </w:rPr>
            </w:pPr>
            <w:r>
              <w:rPr>
                <w:rFonts w:eastAsiaTheme="minorEastAsia"/>
                <w:b/>
                <w:bCs/>
              </w:rPr>
              <w:t>符合性</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786" w:type="dxa"/>
            <w:tcBorders>
              <w:tl2br w:val="nil"/>
              <w:tr2bl w:val="nil"/>
            </w:tcBorders>
            <w:vAlign w:val="center"/>
          </w:tcPr>
          <w:p>
            <w:pPr>
              <w:pStyle w:val="10"/>
              <w:jc w:val="both"/>
              <w:rPr>
                <w:rFonts w:eastAsiaTheme="minorEastAsia"/>
              </w:rPr>
            </w:pPr>
            <w:r>
              <w:rPr>
                <w:rFonts w:eastAsiaTheme="minorEastAsia"/>
              </w:rPr>
              <w:t>可能产生扬尘污染的单位，应当制定扬尘污染防治责任制度和防治措施，达到国家规定的标准。</w:t>
            </w:r>
          </w:p>
          <w:p>
            <w:pPr>
              <w:pStyle w:val="10"/>
              <w:jc w:val="left"/>
              <w:rPr>
                <w:rFonts w:eastAsiaTheme="minorEastAsia"/>
              </w:rPr>
            </w:pPr>
            <w:r>
              <w:rPr>
                <w:rFonts w:eastAsiaTheme="minorEastAsia"/>
              </w:rPr>
              <w:t>建设单位与施工单位签订施工承发包合同，应当明确施工单位的扬尘污染防治责任，将扬尘污染防治费用列入工程预算。</w:t>
            </w:r>
          </w:p>
        </w:tc>
        <w:tc>
          <w:tcPr>
            <w:tcW w:w="2941" w:type="dxa"/>
            <w:tcBorders>
              <w:tl2br w:val="nil"/>
              <w:tr2bl w:val="nil"/>
            </w:tcBorders>
            <w:vAlign w:val="center"/>
          </w:tcPr>
          <w:p>
            <w:pPr>
              <w:pStyle w:val="10"/>
              <w:rPr>
                <w:rFonts w:eastAsiaTheme="minorEastAsia"/>
              </w:rPr>
            </w:pPr>
            <w:r>
              <w:rPr>
                <w:rFonts w:eastAsiaTheme="minorEastAsia"/>
              </w:rPr>
              <w:t>本项目施工期会产生扬尘污染，制定了扬尘污染防治责任制度和防治措施，达到国家规定的标准。与施工单位签订施工承发包合同，明确施工单位的扬尘污染防治责任。</w:t>
            </w:r>
          </w:p>
        </w:tc>
        <w:tc>
          <w:tcPr>
            <w:tcW w:w="886" w:type="dxa"/>
            <w:tcBorders>
              <w:tl2br w:val="nil"/>
              <w:tr2bl w:val="nil"/>
            </w:tcBorders>
            <w:vAlign w:val="center"/>
          </w:tcPr>
          <w:p>
            <w:pPr>
              <w:pStyle w:val="10"/>
              <w:rPr>
                <w:rFonts w:eastAsiaTheme="minorEastAsia"/>
              </w:rPr>
            </w:pPr>
            <w:r>
              <w:rPr>
                <w:rFonts w:eastAsiaTheme="minorEastAsia"/>
              </w:rPr>
              <w:t>符合</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786" w:type="dxa"/>
            <w:tcBorders>
              <w:tl2br w:val="nil"/>
              <w:tr2bl w:val="nil"/>
            </w:tcBorders>
            <w:vAlign w:val="center"/>
          </w:tcPr>
          <w:p>
            <w:pPr>
              <w:pStyle w:val="10"/>
              <w:jc w:val="left"/>
              <w:rPr>
                <w:rFonts w:eastAsiaTheme="minorEastAsia"/>
              </w:rPr>
            </w:pPr>
            <w:r>
              <w:rPr>
                <w:rFonts w:eastAsiaTheme="minorEastAsia"/>
              </w:rPr>
              <w:t>工程施工单位应当建立扬尘污染防治责任制，采取遮盖、围挡、密闭、喷洒、冲洗、绿化等防尘措施，施工工地内车行道路应当采取硬化等降尘措施，裸露地面应当铺设礁渣、细石或者其他功能相当的材料，或者采取覆盖防尘布或者防尘网等措施，保持施工场所和周围环境的清洁。</w:t>
            </w:r>
          </w:p>
          <w:p>
            <w:pPr>
              <w:pStyle w:val="10"/>
              <w:jc w:val="left"/>
              <w:rPr>
                <w:rFonts w:eastAsiaTheme="minorEastAsia"/>
              </w:rPr>
            </w:pPr>
            <w:r>
              <w:rPr>
                <w:rFonts w:eastAsiaTheme="minorEastAsia"/>
              </w:rPr>
              <w:t>进行管线和道路施工除符合前款规定外，还应当对回填的沟槽，采取洒水、覆盖等措施，防止扬尘污染。</w:t>
            </w:r>
          </w:p>
          <w:p>
            <w:pPr>
              <w:pStyle w:val="10"/>
              <w:jc w:val="left"/>
              <w:rPr>
                <w:rFonts w:eastAsiaTheme="minorEastAsia"/>
              </w:rPr>
            </w:pPr>
            <w:r>
              <w:rPr>
                <w:rFonts w:eastAsiaTheme="minorEastAsia"/>
              </w:rPr>
              <w:t>禁止工程施工单位从高处向下倾倒或者抛洒各类散装物料和建筑垃圾。</w:t>
            </w:r>
          </w:p>
        </w:tc>
        <w:tc>
          <w:tcPr>
            <w:tcW w:w="2941" w:type="dxa"/>
            <w:tcBorders>
              <w:tl2br w:val="nil"/>
              <w:tr2bl w:val="nil"/>
            </w:tcBorders>
            <w:vAlign w:val="center"/>
          </w:tcPr>
          <w:p>
            <w:pPr>
              <w:pStyle w:val="10"/>
              <w:rPr>
                <w:rFonts w:eastAsiaTheme="minorEastAsia"/>
              </w:rPr>
            </w:pPr>
            <w:r>
              <w:rPr>
                <w:rFonts w:eastAsiaTheme="minorEastAsia"/>
              </w:rPr>
              <w:t>采取遮盖、围挡、密闭、喷洒、冲洗、绿化等防尘措施，施工工地内车行道路应当采取硬化等降尘措施，裸露地面应当铺设礁渣、细石或者其他功能相当的材料，或者采取覆盖防尘布或者防尘网等措施，保持施工场所和周围环境的清洁。对回填的沟槽，采取洒水、覆盖等措施，防止扬尘污染。</w:t>
            </w:r>
          </w:p>
        </w:tc>
        <w:tc>
          <w:tcPr>
            <w:tcW w:w="886" w:type="dxa"/>
            <w:tcBorders>
              <w:tl2br w:val="nil"/>
              <w:tr2bl w:val="nil"/>
            </w:tcBorders>
            <w:vAlign w:val="center"/>
          </w:tcPr>
          <w:p>
            <w:pPr>
              <w:pStyle w:val="10"/>
              <w:rPr>
                <w:rFonts w:eastAsiaTheme="minorEastAsia"/>
              </w:rPr>
            </w:pPr>
            <w:r>
              <w:rPr>
                <w:rFonts w:eastAsiaTheme="minorEastAsia"/>
              </w:rPr>
              <w:t>符合</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786" w:type="dxa"/>
            <w:tcBorders>
              <w:tl2br w:val="nil"/>
              <w:tr2bl w:val="nil"/>
            </w:tcBorders>
            <w:vAlign w:val="center"/>
          </w:tcPr>
          <w:p>
            <w:pPr>
              <w:pStyle w:val="10"/>
              <w:jc w:val="left"/>
              <w:rPr>
                <w:rFonts w:eastAsiaTheme="minorEastAsia"/>
              </w:rPr>
            </w:pPr>
            <w:r>
              <w:rPr>
                <w:rFonts w:eastAsiaTheme="minorEastAsia"/>
              </w:rPr>
              <w:t>在城镇道路上行驶的机动车应当保持车容整洁，不得带泥带灰上路。</w:t>
            </w:r>
          </w:p>
          <w:p>
            <w:pPr>
              <w:pStyle w:val="10"/>
              <w:jc w:val="left"/>
              <w:rPr>
                <w:rFonts w:eastAsiaTheme="minorEastAsia"/>
              </w:rPr>
            </w:pPr>
            <w:r>
              <w:rPr>
                <w:rFonts w:eastAsiaTheme="minorEastAsia"/>
              </w:rPr>
              <w:t>运输砂石、渣土、土方、垃圾等物料的车辆应当采取蓬盖、密闭等措施，防止在运输过程中因物料遗撒或者泄漏而产生扬尘污染。</w:t>
            </w:r>
          </w:p>
        </w:tc>
        <w:tc>
          <w:tcPr>
            <w:tcW w:w="2941" w:type="dxa"/>
            <w:tcBorders>
              <w:tl2br w:val="nil"/>
              <w:tr2bl w:val="nil"/>
            </w:tcBorders>
            <w:vAlign w:val="center"/>
          </w:tcPr>
          <w:p>
            <w:pPr>
              <w:pStyle w:val="10"/>
              <w:rPr>
                <w:rFonts w:eastAsiaTheme="minorEastAsia"/>
              </w:rPr>
            </w:pPr>
            <w:r>
              <w:rPr>
                <w:rFonts w:eastAsiaTheme="minorEastAsia"/>
              </w:rPr>
              <w:t>运输车辆不得带泥带灰上路。运输砂石、渣土、土方、垃圾等物料的车辆采取蓬盖、密闭等措施。</w:t>
            </w:r>
          </w:p>
        </w:tc>
        <w:tc>
          <w:tcPr>
            <w:tcW w:w="886" w:type="dxa"/>
            <w:tcBorders>
              <w:tl2br w:val="nil"/>
              <w:tr2bl w:val="nil"/>
            </w:tcBorders>
            <w:vAlign w:val="center"/>
          </w:tcPr>
          <w:p>
            <w:pPr>
              <w:pStyle w:val="10"/>
              <w:rPr>
                <w:rFonts w:eastAsiaTheme="minorEastAsia"/>
              </w:rPr>
            </w:pPr>
            <w:r>
              <w:rPr>
                <w:rFonts w:eastAsiaTheme="minorEastAsia"/>
              </w:rPr>
              <w:t>符合</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786" w:type="dxa"/>
            <w:tcBorders>
              <w:tl2br w:val="nil"/>
              <w:tr2bl w:val="nil"/>
            </w:tcBorders>
            <w:vAlign w:val="center"/>
          </w:tcPr>
          <w:p>
            <w:pPr>
              <w:pStyle w:val="10"/>
              <w:jc w:val="left"/>
              <w:rPr>
                <w:rFonts w:eastAsiaTheme="minorEastAsia"/>
              </w:rPr>
            </w:pPr>
            <w:r>
              <w:rPr>
                <w:rFonts w:eastAsiaTheme="minorEastAsia"/>
              </w:rPr>
              <w:t>码头、堆场、露天仓库的物料堆存应当遵守下列防尘规定：</w:t>
            </w:r>
            <w:r>
              <w:rPr>
                <w:rFonts w:hint="eastAsia" w:eastAsiaTheme="minorEastAsia"/>
              </w:rPr>
              <w:t>（</w:t>
            </w:r>
            <w:r>
              <w:rPr>
                <w:rFonts w:eastAsiaTheme="minorEastAsia"/>
              </w:rPr>
              <w:t>一</w:t>
            </w:r>
            <w:r>
              <w:rPr>
                <w:rFonts w:hint="eastAsia" w:eastAsiaTheme="minorEastAsia"/>
              </w:rPr>
              <w:t>）</w:t>
            </w:r>
            <w:r>
              <w:rPr>
                <w:rFonts w:eastAsiaTheme="minorEastAsia"/>
              </w:rPr>
              <w:t>堆场的场坪、路面应当进行硬化处理，并保持路面整洁；</w:t>
            </w:r>
            <w:r>
              <w:rPr>
                <w:rFonts w:hint="eastAsia" w:eastAsiaTheme="minorEastAsia"/>
              </w:rPr>
              <w:t>（</w:t>
            </w:r>
            <w:r>
              <w:rPr>
                <w:rFonts w:eastAsiaTheme="minorEastAsia"/>
              </w:rPr>
              <w:t>二</w:t>
            </w:r>
            <w:r>
              <w:rPr>
                <w:rFonts w:hint="eastAsia" w:eastAsiaTheme="minorEastAsia"/>
              </w:rPr>
              <w:t>）</w:t>
            </w:r>
            <w:r>
              <w:rPr>
                <w:rFonts w:eastAsiaTheme="minorEastAsia"/>
              </w:rPr>
              <w:t>堆场周边应当配备高于堆存物料的围挡、防风抑尘网等设施；大型堆场应当配置车辆清洗专用设施；</w:t>
            </w:r>
            <w:r>
              <w:rPr>
                <w:rFonts w:hint="eastAsia" w:eastAsiaTheme="minorEastAsia"/>
              </w:rPr>
              <w:t>（</w:t>
            </w:r>
            <w:r>
              <w:rPr>
                <w:rFonts w:eastAsiaTheme="minorEastAsia"/>
              </w:rPr>
              <w:t>三</w:t>
            </w:r>
            <w:r>
              <w:rPr>
                <w:rFonts w:hint="eastAsia" w:eastAsiaTheme="minorEastAsia"/>
              </w:rPr>
              <w:t>）</w:t>
            </w:r>
            <w:r>
              <w:rPr>
                <w:rFonts w:eastAsiaTheme="minorEastAsia"/>
              </w:rPr>
              <w:t>对堆场物料应当根据物料类别采取相应的覆盖、喷淋和围挡等防风抑尘措施；</w:t>
            </w:r>
            <w:r>
              <w:rPr>
                <w:rFonts w:hint="eastAsia" w:eastAsiaTheme="minorEastAsia"/>
              </w:rPr>
              <w:t>（</w:t>
            </w:r>
            <w:r>
              <w:rPr>
                <w:rFonts w:eastAsiaTheme="minorEastAsia"/>
              </w:rPr>
              <w:t>四</w:t>
            </w:r>
            <w:r>
              <w:rPr>
                <w:rFonts w:hint="eastAsia" w:eastAsiaTheme="minorEastAsia"/>
              </w:rPr>
              <w:t>）</w:t>
            </w:r>
            <w:r>
              <w:rPr>
                <w:rFonts w:eastAsiaTheme="minorEastAsia"/>
              </w:rPr>
              <w:t>露天装卸物料应当采取洒水、喷淋等抑尘措施；密闭输送物料应当在装料、卸料处配备吸尘、喷淋等防尘设施。</w:t>
            </w:r>
          </w:p>
        </w:tc>
        <w:tc>
          <w:tcPr>
            <w:tcW w:w="2941" w:type="dxa"/>
            <w:tcBorders>
              <w:tl2br w:val="nil"/>
              <w:tr2bl w:val="nil"/>
            </w:tcBorders>
            <w:vAlign w:val="center"/>
          </w:tcPr>
          <w:p>
            <w:pPr>
              <w:pStyle w:val="10"/>
              <w:rPr>
                <w:rFonts w:eastAsiaTheme="minorEastAsia"/>
              </w:rPr>
            </w:pPr>
            <w:r>
              <w:rPr>
                <w:rFonts w:eastAsiaTheme="minorEastAsia"/>
              </w:rPr>
              <w:t>露天装卸物料采取洒水、喷淋等抑尘措施；对堆场物料根据物料类别采取相应的覆盖、喷淋和围挡等防风抑尘措施。</w:t>
            </w:r>
          </w:p>
        </w:tc>
        <w:tc>
          <w:tcPr>
            <w:tcW w:w="886" w:type="dxa"/>
            <w:tcBorders>
              <w:tl2br w:val="nil"/>
              <w:tr2bl w:val="nil"/>
            </w:tcBorders>
            <w:vAlign w:val="center"/>
          </w:tcPr>
          <w:p>
            <w:pPr>
              <w:pStyle w:val="10"/>
              <w:rPr>
                <w:rFonts w:eastAsiaTheme="minorEastAsia"/>
              </w:rPr>
            </w:pPr>
            <w:r>
              <w:rPr>
                <w:rFonts w:eastAsiaTheme="minorEastAsia"/>
              </w:rPr>
              <w:t>符合</w:t>
            </w:r>
          </w:p>
        </w:tc>
      </w:tr>
    </w:tbl>
    <w:p>
      <w:pPr>
        <w:ind w:firstLine="480"/>
      </w:pPr>
    </w:p>
    <w:p>
      <w:pPr>
        <w:pStyle w:val="5"/>
        <w:rPr>
          <w:rFonts w:eastAsiaTheme="minorEastAsia"/>
        </w:rPr>
      </w:pPr>
      <w:r>
        <w:rPr>
          <w:rFonts w:eastAsiaTheme="minorEastAsia"/>
        </w:rPr>
        <w:t>与“三线一单”的符合性分析</w:t>
      </w:r>
    </w:p>
    <w:p>
      <w:pPr>
        <w:ind w:firstLine="480"/>
        <w:rPr>
          <w:rFonts w:cs="Times New Roman"/>
        </w:rPr>
      </w:pPr>
      <w:r>
        <w:rPr>
          <w:rFonts w:cs="Times New Roman"/>
        </w:rPr>
        <w:t>为充分发挥环境影响评价从源头预防环境污染和生态破坏的作用， 推动实现“十三五” 绿色发展和改善生态环境质量总体目标，环境保护部研究制定了 《 “十三五”环境影响评价改革实施方案》（环环评[2016]95号），结合山东省人民政府《关于山东省生态保护红线规划（2016-2020 年）的批复》（鲁政字[2016]173 号），查阅山东省生态保护红线区块等级表，项目建设不在生态保护红线范围内。</w:t>
      </w:r>
    </w:p>
    <w:p>
      <w:pPr>
        <w:ind w:firstLine="480"/>
        <w:rPr>
          <w:rFonts w:cs="Times New Roman"/>
        </w:rPr>
      </w:pPr>
      <w:r>
        <w:rPr>
          <w:rFonts w:cs="Times New Roman"/>
        </w:rPr>
        <w:t>本项目与环环评[2016]95号“三线一单”的符合性分析见</w:t>
      </w:r>
      <w:r>
        <w:fldChar w:fldCharType="begin"/>
      </w:r>
      <w:r>
        <w:instrText xml:space="preserve"> REF _Ref500838251 \h  \* MERGEFORMAT </w:instrText>
      </w:r>
      <w:r>
        <w:fldChar w:fldCharType="separate"/>
      </w:r>
      <w:r>
        <w:rPr>
          <w:rFonts w:cs="Times New Roman"/>
        </w:rPr>
        <w:t>表</w:t>
      </w:r>
      <w:r>
        <w:rPr>
          <w:rFonts w:hint="eastAsia" w:cs="Times New Roman"/>
        </w:rPr>
        <w:t>8.2</w:t>
      </w:r>
      <w:r>
        <w:rPr>
          <w:rFonts w:cs="Times New Roman"/>
        </w:rPr>
        <w:noBreakHyphen/>
      </w:r>
      <w:r>
        <w:rPr>
          <w:rFonts w:cs="Times New Roman"/>
        </w:rPr>
        <w:fldChar w:fldCharType="end"/>
      </w:r>
      <w:r>
        <w:rPr>
          <w:rFonts w:cs="Times New Roman"/>
        </w:rPr>
        <w:t>6。本项目与生态保护红线的位置关系见图</w:t>
      </w:r>
      <w:r>
        <w:rPr>
          <w:rFonts w:hint="eastAsia" w:cs="Times New Roman"/>
        </w:rPr>
        <w:t>1.7-1</w:t>
      </w:r>
      <w:r>
        <w:rPr>
          <w:rFonts w:cs="Times New Roman"/>
        </w:rPr>
        <w:t>。</w:t>
      </w:r>
    </w:p>
    <w:p>
      <w:pPr>
        <w:keepNext/>
        <w:spacing w:beforeLines="30" w:afterLines="30"/>
        <w:ind w:firstLine="482"/>
        <w:jc w:val="center"/>
        <w:rPr>
          <w:rFonts w:cs="Times New Roman"/>
          <w:b/>
          <w:bCs/>
          <w:szCs w:val="20"/>
        </w:rPr>
      </w:pPr>
      <w:r>
        <w:rPr>
          <w:rFonts w:cs="Times New Roman"/>
          <w:b/>
          <w:bCs/>
          <w:szCs w:val="20"/>
        </w:rPr>
        <w:t xml:space="preserve">表 </w:t>
      </w:r>
      <w:r>
        <w:rPr>
          <w:rFonts w:hint="eastAsia" w:cs="Times New Roman"/>
          <w:b/>
          <w:bCs/>
        </w:rPr>
        <w:t>8.2</w:t>
      </w:r>
      <w:r>
        <w:rPr>
          <w:rFonts w:cs="Times New Roman"/>
          <w:b/>
          <w:bCs/>
          <w:szCs w:val="20"/>
        </w:rPr>
        <w:noBreakHyphen/>
      </w:r>
      <w:r>
        <w:rPr>
          <w:rFonts w:cs="Times New Roman"/>
          <w:b/>
          <w:bCs/>
        </w:rPr>
        <w:t>6</w:t>
      </w:r>
      <w:r>
        <w:rPr>
          <w:rFonts w:cs="Times New Roman"/>
          <w:b/>
          <w:bCs/>
          <w:szCs w:val="20"/>
        </w:rPr>
        <w:t xml:space="preserve"> 与三线一单的符合性分析</w:t>
      </w:r>
    </w:p>
    <w:tbl>
      <w:tblPr>
        <w:tblStyle w:val="8"/>
        <w:tblW w:w="8520"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140"/>
        <w:gridCol w:w="6504"/>
        <w:gridCol w:w="876"/>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2" w:hRule="atLeast"/>
          <w:tblHeader/>
        </w:trPr>
        <w:tc>
          <w:tcPr>
            <w:tcW w:w="1140" w:type="dxa"/>
            <w:tcBorders>
              <w:tl2br w:val="nil"/>
              <w:tr2bl w:val="nil"/>
            </w:tcBorders>
            <w:vAlign w:val="center"/>
          </w:tcPr>
          <w:p>
            <w:pPr>
              <w:autoSpaceDE w:val="0"/>
              <w:autoSpaceDN w:val="0"/>
              <w:adjustRightInd w:val="0"/>
              <w:spacing w:line="240" w:lineRule="auto"/>
              <w:ind w:firstLine="0" w:firstLineChars="0"/>
              <w:jc w:val="center"/>
              <w:rPr>
                <w:rFonts w:cs="Times New Roman"/>
                <w:b/>
                <w:bCs/>
                <w:kern w:val="0"/>
                <w:sz w:val="21"/>
                <w:szCs w:val="21"/>
              </w:rPr>
            </w:pPr>
            <w:r>
              <w:rPr>
                <w:rFonts w:cs="Times New Roman"/>
                <w:b/>
                <w:bCs/>
                <w:kern w:val="0"/>
                <w:sz w:val="21"/>
                <w:szCs w:val="21"/>
              </w:rPr>
              <w:t>内容</w:t>
            </w:r>
          </w:p>
        </w:tc>
        <w:tc>
          <w:tcPr>
            <w:tcW w:w="6506" w:type="dxa"/>
            <w:tcBorders>
              <w:tl2br w:val="nil"/>
              <w:tr2bl w:val="nil"/>
            </w:tcBorders>
            <w:vAlign w:val="center"/>
          </w:tcPr>
          <w:p>
            <w:pPr>
              <w:autoSpaceDE w:val="0"/>
              <w:autoSpaceDN w:val="0"/>
              <w:adjustRightInd w:val="0"/>
              <w:spacing w:line="240" w:lineRule="auto"/>
              <w:ind w:firstLine="0" w:firstLineChars="0"/>
              <w:jc w:val="center"/>
              <w:rPr>
                <w:rFonts w:cs="Times New Roman"/>
                <w:b/>
                <w:bCs/>
                <w:kern w:val="0"/>
                <w:sz w:val="21"/>
                <w:szCs w:val="21"/>
              </w:rPr>
            </w:pPr>
            <w:r>
              <w:rPr>
                <w:rFonts w:cs="Times New Roman"/>
                <w:b/>
                <w:bCs/>
                <w:kern w:val="0"/>
                <w:sz w:val="21"/>
                <w:szCs w:val="21"/>
              </w:rPr>
              <w:t>符合性分析</w:t>
            </w:r>
          </w:p>
        </w:tc>
        <w:tc>
          <w:tcPr>
            <w:tcW w:w="876" w:type="dxa"/>
            <w:tcBorders>
              <w:tl2br w:val="nil"/>
              <w:tr2bl w:val="nil"/>
            </w:tcBorders>
            <w:vAlign w:val="center"/>
          </w:tcPr>
          <w:p>
            <w:pPr>
              <w:autoSpaceDE w:val="0"/>
              <w:autoSpaceDN w:val="0"/>
              <w:adjustRightInd w:val="0"/>
              <w:spacing w:line="240" w:lineRule="auto"/>
              <w:ind w:firstLine="0" w:firstLineChars="0"/>
              <w:jc w:val="center"/>
              <w:rPr>
                <w:rFonts w:cs="Times New Roman"/>
                <w:b/>
                <w:bCs/>
                <w:kern w:val="0"/>
                <w:sz w:val="21"/>
                <w:szCs w:val="21"/>
              </w:rPr>
            </w:pPr>
            <w:r>
              <w:rPr>
                <w:rFonts w:cs="Times New Roman"/>
                <w:b/>
                <w:bCs/>
                <w:kern w:val="0"/>
                <w:sz w:val="21"/>
                <w:szCs w:val="21"/>
              </w:rPr>
              <w:t>符合性</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55" w:hRule="atLeast"/>
        </w:trPr>
        <w:tc>
          <w:tcPr>
            <w:tcW w:w="1140" w:type="dxa"/>
            <w:tcBorders>
              <w:tl2br w:val="nil"/>
              <w:tr2bl w:val="nil"/>
            </w:tcBorders>
            <w:vAlign w:val="center"/>
          </w:tcPr>
          <w:p>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生态保护红线</w:t>
            </w:r>
          </w:p>
        </w:tc>
        <w:tc>
          <w:tcPr>
            <w:tcW w:w="6506" w:type="dxa"/>
            <w:tcBorders>
              <w:tl2br w:val="nil"/>
              <w:tr2bl w:val="nil"/>
            </w:tcBorders>
            <w:vAlign w:val="center"/>
          </w:tcPr>
          <w:p>
            <w:pPr>
              <w:autoSpaceDE w:val="0"/>
              <w:autoSpaceDN w:val="0"/>
              <w:adjustRightInd w:val="0"/>
              <w:spacing w:line="240" w:lineRule="auto"/>
              <w:ind w:firstLine="0" w:firstLineChars="0"/>
              <w:jc w:val="left"/>
              <w:rPr>
                <w:rFonts w:cs="Times New Roman"/>
                <w:kern w:val="0"/>
                <w:sz w:val="21"/>
                <w:szCs w:val="21"/>
              </w:rPr>
            </w:pPr>
            <w:r>
              <w:rPr>
                <w:rFonts w:cs="Times New Roman"/>
                <w:kern w:val="0"/>
                <w:sz w:val="21"/>
                <w:szCs w:val="21"/>
              </w:rPr>
              <w:t>根据《山东省生态保护红线规划</w:t>
            </w:r>
            <w:r>
              <w:rPr>
                <w:rFonts w:hint="eastAsia" w:cs="Times New Roman"/>
                <w:kern w:val="0"/>
                <w:sz w:val="21"/>
                <w:szCs w:val="21"/>
              </w:rPr>
              <w:t>（</w:t>
            </w:r>
            <w:r>
              <w:rPr>
                <w:rFonts w:cs="Times New Roman"/>
                <w:kern w:val="0"/>
                <w:sz w:val="21"/>
                <w:szCs w:val="21"/>
              </w:rPr>
              <w:t>2016-2020年</w:t>
            </w:r>
            <w:r>
              <w:rPr>
                <w:rFonts w:hint="eastAsia" w:cs="Times New Roman"/>
                <w:kern w:val="0"/>
                <w:sz w:val="21"/>
                <w:szCs w:val="21"/>
              </w:rPr>
              <w:t>）</w:t>
            </w:r>
            <w:r>
              <w:rPr>
                <w:rFonts w:cs="Times New Roman"/>
                <w:kern w:val="0"/>
                <w:sz w:val="21"/>
                <w:szCs w:val="21"/>
              </w:rPr>
              <w:t>》，</w:t>
            </w:r>
            <w:r>
              <w:rPr>
                <w:rFonts w:hint="eastAsia" w:cs="Times New Roman"/>
                <w:kern w:val="0"/>
                <w:sz w:val="21"/>
                <w:szCs w:val="21"/>
              </w:rPr>
              <w:t>本工程</w:t>
            </w:r>
            <w:r>
              <w:rPr>
                <w:rFonts w:cs="Times New Roman"/>
                <w:kern w:val="0"/>
                <w:sz w:val="21"/>
                <w:szCs w:val="21"/>
              </w:rPr>
              <w:t>距离最近的生态红线区为</w:t>
            </w:r>
            <w:r>
              <w:rPr>
                <w:rFonts w:hint="eastAsia" w:cs="Times New Roman"/>
                <w:kern w:val="0"/>
                <w:sz w:val="21"/>
                <w:szCs w:val="21"/>
              </w:rPr>
              <w:t>其东南侧约4.17km的白浪河水库水源涵养生态红线区（水源地）“SD-07-B1-001”，</w:t>
            </w:r>
            <w:r>
              <w:rPr>
                <w:rFonts w:cs="Times New Roman"/>
                <w:kern w:val="0"/>
                <w:sz w:val="21"/>
                <w:szCs w:val="21"/>
              </w:rPr>
              <w:t>不在生态保护红线范围内</w:t>
            </w:r>
            <w:r>
              <w:rPr>
                <w:rFonts w:hint="eastAsia" w:cs="Times New Roman"/>
                <w:kern w:val="0"/>
                <w:sz w:val="21"/>
                <w:szCs w:val="21"/>
              </w:rPr>
              <w:t>，</w:t>
            </w:r>
            <w:r>
              <w:rPr>
                <w:rFonts w:cs="Times New Roman"/>
                <w:kern w:val="0"/>
                <w:sz w:val="21"/>
                <w:szCs w:val="21"/>
              </w:rPr>
              <w:t>符合《山东省生态保护红线规划</w:t>
            </w:r>
            <w:r>
              <w:rPr>
                <w:rFonts w:hint="eastAsia" w:cs="Times New Roman"/>
                <w:kern w:val="0"/>
                <w:sz w:val="21"/>
                <w:szCs w:val="21"/>
              </w:rPr>
              <w:t>（</w:t>
            </w:r>
            <w:r>
              <w:rPr>
                <w:rFonts w:cs="Times New Roman"/>
                <w:kern w:val="0"/>
                <w:sz w:val="21"/>
                <w:szCs w:val="21"/>
              </w:rPr>
              <w:t>2016-2020年</w:t>
            </w:r>
            <w:r>
              <w:rPr>
                <w:rFonts w:hint="eastAsia" w:cs="Times New Roman"/>
                <w:kern w:val="0"/>
                <w:sz w:val="21"/>
                <w:szCs w:val="21"/>
              </w:rPr>
              <w:t>）</w:t>
            </w:r>
            <w:r>
              <w:rPr>
                <w:rFonts w:cs="Times New Roman"/>
                <w:kern w:val="0"/>
                <w:sz w:val="21"/>
                <w:szCs w:val="21"/>
              </w:rPr>
              <w:t>》相关要求。</w:t>
            </w:r>
          </w:p>
        </w:tc>
        <w:tc>
          <w:tcPr>
            <w:tcW w:w="876" w:type="dxa"/>
            <w:tcBorders>
              <w:tl2br w:val="nil"/>
              <w:tr2bl w:val="nil"/>
            </w:tcBorders>
            <w:vAlign w:val="center"/>
          </w:tcPr>
          <w:p>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符合</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7" w:hRule="atLeast"/>
        </w:trPr>
        <w:tc>
          <w:tcPr>
            <w:tcW w:w="1140" w:type="dxa"/>
            <w:tcBorders>
              <w:tl2br w:val="nil"/>
              <w:tr2bl w:val="nil"/>
            </w:tcBorders>
            <w:vAlign w:val="center"/>
          </w:tcPr>
          <w:p>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资源利用上线</w:t>
            </w:r>
          </w:p>
        </w:tc>
        <w:tc>
          <w:tcPr>
            <w:tcW w:w="6506" w:type="dxa"/>
            <w:tcBorders>
              <w:tl2br w:val="nil"/>
              <w:tr2bl w:val="nil"/>
            </w:tcBorders>
            <w:vAlign w:val="center"/>
          </w:tcPr>
          <w:p>
            <w:pPr>
              <w:autoSpaceDE w:val="0"/>
              <w:autoSpaceDN w:val="0"/>
              <w:adjustRightInd w:val="0"/>
              <w:spacing w:line="240" w:lineRule="auto"/>
              <w:ind w:firstLine="0" w:firstLineChars="0"/>
              <w:jc w:val="left"/>
              <w:rPr>
                <w:rFonts w:cs="Times New Roman"/>
                <w:kern w:val="0"/>
                <w:sz w:val="21"/>
                <w:szCs w:val="21"/>
              </w:rPr>
            </w:pPr>
            <w:r>
              <w:rPr>
                <w:rFonts w:cs="Times New Roman"/>
                <w:kern w:val="0"/>
                <w:sz w:val="21"/>
                <w:szCs w:val="21"/>
              </w:rPr>
              <w:t>本项工程营运过程中无电源、水资源等资源消耗，符合资源利用上限要求</w:t>
            </w:r>
          </w:p>
        </w:tc>
        <w:tc>
          <w:tcPr>
            <w:tcW w:w="876" w:type="dxa"/>
            <w:tcBorders>
              <w:tl2br w:val="nil"/>
              <w:tr2bl w:val="nil"/>
            </w:tcBorders>
            <w:vAlign w:val="center"/>
          </w:tcPr>
          <w:p>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符合</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13" w:hRule="atLeast"/>
        </w:trPr>
        <w:tc>
          <w:tcPr>
            <w:tcW w:w="1140" w:type="dxa"/>
            <w:tcBorders>
              <w:tl2br w:val="nil"/>
              <w:tr2bl w:val="nil"/>
            </w:tcBorders>
            <w:vAlign w:val="center"/>
          </w:tcPr>
          <w:p>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环境质量底线</w:t>
            </w:r>
          </w:p>
        </w:tc>
        <w:tc>
          <w:tcPr>
            <w:tcW w:w="6506" w:type="dxa"/>
            <w:tcBorders>
              <w:tl2br w:val="nil"/>
              <w:tr2bl w:val="nil"/>
            </w:tcBorders>
            <w:vAlign w:val="center"/>
          </w:tcPr>
          <w:p>
            <w:pPr>
              <w:autoSpaceDE w:val="0"/>
              <w:autoSpaceDN w:val="0"/>
              <w:adjustRightInd w:val="0"/>
              <w:spacing w:line="240" w:lineRule="auto"/>
              <w:ind w:firstLine="0" w:firstLineChars="0"/>
              <w:jc w:val="left"/>
              <w:rPr>
                <w:rFonts w:cs="Times New Roman"/>
                <w:kern w:val="0"/>
                <w:sz w:val="21"/>
                <w:szCs w:val="21"/>
              </w:rPr>
            </w:pPr>
            <w:r>
              <w:rPr>
                <w:rFonts w:cs="Times New Roman"/>
                <w:kern w:val="0"/>
                <w:sz w:val="21"/>
                <w:szCs w:val="21"/>
              </w:rPr>
              <w:t>1、本项目附近声环境能够满足相应的标准要求。</w:t>
            </w:r>
          </w:p>
          <w:p>
            <w:pPr>
              <w:autoSpaceDE w:val="0"/>
              <w:autoSpaceDN w:val="0"/>
              <w:adjustRightInd w:val="0"/>
              <w:spacing w:line="240" w:lineRule="auto"/>
              <w:ind w:firstLine="0" w:firstLineChars="0"/>
              <w:jc w:val="left"/>
              <w:rPr>
                <w:rFonts w:cs="Times New Roman"/>
                <w:kern w:val="0"/>
                <w:sz w:val="21"/>
                <w:szCs w:val="21"/>
              </w:rPr>
            </w:pPr>
            <w:r>
              <w:rPr>
                <w:rFonts w:cs="Times New Roman"/>
                <w:kern w:val="0"/>
                <w:sz w:val="21"/>
                <w:szCs w:val="21"/>
              </w:rPr>
              <w:t>2、本工程运营期无废气产生，不会对环境空气造成不良影响。</w:t>
            </w:r>
          </w:p>
          <w:p>
            <w:pPr>
              <w:autoSpaceDE w:val="0"/>
              <w:autoSpaceDN w:val="0"/>
              <w:adjustRightInd w:val="0"/>
              <w:spacing w:line="240" w:lineRule="auto"/>
              <w:ind w:firstLine="0" w:firstLineChars="0"/>
              <w:jc w:val="left"/>
              <w:rPr>
                <w:rFonts w:cs="Times New Roman"/>
                <w:kern w:val="0"/>
                <w:sz w:val="21"/>
                <w:szCs w:val="21"/>
              </w:rPr>
            </w:pPr>
            <w:r>
              <w:rPr>
                <w:rFonts w:cs="Times New Roman"/>
                <w:kern w:val="0"/>
                <w:sz w:val="21"/>
                <w:szCs w:val="21"/>
              </w:rPr>
              <w:t>3、本工程运营期无废水产生，不会对水环境造成不良影响。</w:t>
            </w:r>
          </w:p>
        </w:tc>
        <w:tc>
          <w:tcPr>
            <w:tcW w:w="876" w:type="dxa"/>
            <w:tcBorders>
              <w:tl2br w:val="nil"/>
              <w:tr2bl w:val="nil"/>
            </w:tcBorders>
            <w:vAlign w:val="center"/>
          </w:tcPr>
          <w:p>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符合</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7" w:hRule="atLeast"/>
        </w:trPr>
        <w:tc>
          <w:tcPr>
            <w:tcW w:w="1140" w:type="dxa"/>
            <w:tcBorders>
              <w:tl2br w:val="nil"/>
              <w:tr2bl w:val="nil"/>
            </w:tcBorders>
            <w:vAlign w:val="center"/>
          </w:tcPr>
          <w:p>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负面清单</w:t>
            </w:r>
          </w:p>
        </w:tc>
        <w:tc>
          <w:tcPr>
            <w:tcW w:w="6506" w:type="dxa"/>
            <w:tcBorders>
              <w:tl2br w:val="nil"/>
              <w:tr2bl w:val="nil"/>
            </w:tcBorders>
            <w:vAlign w:val="center"/>
          </w:tcPr>
          <w:p>
            <w:pPr>
              <w:autoSpaceDE w:val="0"/>
              <w:autoSpaceDN w:val="0"/>
              <w:adjustRightInd w:val="0"/>
              <w:spacing w:line="240" w:lineRule="auto"/>
              <w:ind w:firstLine="0" w:firstLineChars="0"/>
              <w:jc w:val="left"/>
              <w:rPr>
                <w:rFonts w:cs="Times New Roman"/>
                <w:kern w:val="0"/>
                <w:sz w:val="21"/>
                <w:szCs w:val="21"/>
              </w:rPr>
            </w:pPr>
            <w:r>
              <w:rPr>
                <w:rFonts w:hint="eastAsia" w:cs="Times New Roman"/>
                <w:kern w:val="0"/>
                <w:sz w:val="21"/>
                <w:szCs w:val="21"/>
              </w:rPr>
              <w:t>潍城区</w:t>
            </w:r>
            <w:r>
              <w:rPr>
                <w:rFonts w:cs="Times New Roman"/>
                <w:kern w:val="0"/>
                <w:sz w:val="21"/>
                <w:szCs w:val="21"/>
              </w:rPr>
              <w:t>目前尚未制定负面清单</w:t>
            </w:r>
          </w:p>
        </w:tc>
        <w:tc>
          <w:tcPr>
            <w:tcW w:w="876" w:type="dxa"/>
            <w:tcBorders>
              <w:tl2br w:val="nil"/>
              <w:tr2bl w:val="nil"/>
            </w:tcBorders>
            <w:vAlign w:val="center"/>
          </w:tcPr>
          <w:p>
            <w:pPr>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符合</w:t>
            </w:r>
          </w:p>
        </w:tc>
      </w:tr>
      <w:bookmarkEnd w:id="4"/>
    </w:tbl>
    <w:p>
      <w:pPr>
        <w:ind w:firstLine="480"/>
        <w:rPr>
          <w:rFonts w:cs="Times New Roman"/>
        </w:rPr>
      </w:pPr>
      <w:bookmarkStart w:id="6" w:name="_Toc17386485"/>
    </w:p>
    <w:bookmarkEnd w:id="6"/>
    <w:p>
      <w:pPr>
        <w:pStyle w:val="4"/>
        <w:spacing w:before="163"/>
        <w:rPr>
          <w:rFonts w:cs="Times New Roman" w:eastAsiaTheme="minorEastAsia"/>
        </w:rPr>
      </w:pPr>
      <w:r>
        <w:rPr>
          <w:rFonts w:hint="eastAsia" w:cs="Times New Roman" w:eastAsiaTheme="minorEastAsia"/>
        </w:rPr>
        <w:t>土地利用类型规划</w:t>
      </w:r>
      <w:r>
        <w:rPr>
          <w:rFonts w:cs="Times New Roman" w:eastAsiaTheme="minorEastAsia"/>
        </w:rPr>
        <w:t>符合性分析</w:t>
      </w:r>
    </w:p>
    <w:p>
      <w:pPr>
        <w:pStyle w:val="5"/>
        <w:rPr>
          <w:rFonts w:eastAsiaTheme="minorEastAsia"/>
        </w:rPr>
      </w:pPr>
      <w:r>
        <w:rPr>
          <w:rFonts w:eastAsiaTheme="minorEastAsia"/>
        </w:rPr>
        <w:t>与</w:t>
      </w:r>
      <w:r>
        <w:rPr>
          <w:rFonts w:hint="eastAsia" w:eastAsiaTheme="minorEastAsia"/>
        </w:rPr>
        <w:t>潍坊市总体规划</w:t>
      </w:r>
      <w:r>
        <w:rPr>
          <w:rFonts w:eastAsiaTheme="minorEastAsia"/>
        </w:rPr>
        <w:t>符合性分析</w:t>
      </w:r>
    </w:p>
    <w:p>
      <w:pPr>
        <w:ind w:firstLine="480"/>
        <w:rPr>
          <w:rFonts w:cs="Times New Roman"/>
        </w:rPr>
      </w:pPr>
      <w:r>
        <w:rPr>
          <w:rFonts w:hint="eastAsia" w:cs="Times New Roman"/>
        </w:rPr>
        <w:t>根据潍坊市总体规划，项目跨越建设用地及农用地，本工程属于埋地管线项目，仅有标志桩等工程占用地表用地，项目永久征地25m</w:t>
      </w:r>
      <w:r>
        <w:rPr>
          <w:rFonts w:hint="eastAsia" w:cs="Times New Roman"/>
          <w:vertAlign w:val="superscript"/>
        </w:rPr>
        <w:t>2</w:t>
      </w:r>
      <w:r>
        <w:rPr>
          <w:rFonts w:hint="eastAsia" w:cs="Times New Roman"/>
        </w:rPr>
        <w:t>，其中农业用地10m</w:t>
      </w:r>
      <w:r>
        <w:rPr>
          <w:rFonts w:hint="eastAsia" w:cs="Times New Roman"/>
          <w:vertAlign w:val="superscript"/>
        </w:rPr>
        <w:t>2</w:t>
      </w:r>
      <w:r>
        <w:rPr>
          <w:rFonts w:hint="eastAsia" w:cs="Times New Roman"/>
        </w:rPr>
        <w:t>，建设用地15m</w:t>
      </w:r>
      <w:r>
        <w:rPr>
          <w:rFonts w:hint="eastAsia" w:cs="Times New Roman"/>
          <w:vertAlign w:val="superscript"/>
        </w:rPr>
        <w:t>2</w:t>
      </w:r>
      <w:r>
        <w:rPr>
          <w:rFonts w:hint="eastAsia" w:cs="Times New Roman"/>
        </w:rPr>
        <w:t>，项目迁改段与潍坊市总体土地利用规划类型符合性见下图8.3-1。</w:t>
      </w:r>
    </w:p>
    <w:p>
      <w:pPr>
        <w:ind w:firstLine="0" w:firstLineChars="0"/>
        <w:rPr>
          <w:rFonts w:cs="Times New Roman"/>
        </w:rPr>
      </w:pPr>
      <w:r>
        <w:rPr>
          <w:rFonts w:hint="eastAsia" w:cs="Times New Roman"/>
        </w:rPr>
        <w:drawing>
          <wp:inline distT="0" distB="0" distL="114300" distR="114300">
            <wp:extent cx="4770120" cy="6748780"/>
            <wp:effectExtent l="0" t="0" r="11430" b="13970"/>
            <wp:docPr id="2" name="图片 2" descr="整体规划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整体规划图_01"/>
                    <pic:cNvPicPr>
                      <a:picLocks noChangeAspect="1"/>
                    </pic:cNvPicPr>
                  </pic:nvPicPr>
                  <pic:blipFill>
                    <a:blip r:embed="rId4" cstate="print"/>
                    <a:stretch>
                      <a:fillRect/>
                    </a:stretch>
                  </pic:blipFill>
                  <pic:spPr>
                    <a:xfrm>
                      <a:off x="0" y="0"/>
                      <a:ext cx="4770120" cy="6748780"/>
                    </a:xfrm>
                    <a:prstGeom prst="rect">
                      <a:avLst/>
                    </a:prstGeom>
                  </pic:spPr>
                </pic:pic>
              </a:graphicData>
            </a:graphic>
          </wp:inline>
        </w:drawing>
      </w:r>
    </w:p>
    <w:p>
      <w:bookmarkStart w:id="7" w:name="_GoBack"/>
      <w:bookmarkEnd w:id="7"/>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38425B"/>
    <w:multiLevelType w:val="multilevel"/>
    <w:tmpl w:val="5F38425B"/>
    <w:lvl w:ilvl="0" w:tentative="0">
      <w:start w:val="1"/>
      <w:numFmt w:val="decimal"/>
      <w:pStyle w:val="3"/>
      <w:lvlText w:val="第 %1 章 "/>
      <w:lvlJc w:val="left"/>
      <w:pPr>
        <w:ind w:left="420" w:hanging="420"/>
      </w:pPr>
      <w:rPr>
        <w:rFonts w:hint="eastAsia" w:eastAsia="黑体"/>
        <w:b/>
        <w:i w:val="0"/>
        <w:sz w:val="36"/>
      </w:rPr>
    </w:lvl>
    <w:lvl w:ilvl="1" w:tentative="0">
      <w:start w:val="1"/>
      <w:numFmt w:val="decimal"/>
      <w:pStyle w:val="4"/>
      <w:lvlText w:val="%1.%2"/>
      <w:lvlJc w:val="left"/>
      <w:pPr>
        <w:ind w:left="0" w:firstLine="0"/>
      </w:pPr>
      <w:rPr>
        <w:rFonts w:hint="eastAsia"/>
      </w:rPr>
    </w:lvl>
    <w:lvl w:ilvl="2" w:tentative="0">
      <w:start w:val="1"/>
      <w:numFmt w:val="decimal"/>
      <w:pStyle w:val="5"/>
      <w:lvlText w:val="%1.%2.%3"/>
      <w:lvlJc w:val="left"/>
      <w:pPr>
        <w:ind w:left="0" w:firstLine="142"/>
      </w:pPr>
      <w:rPr>
        <w:rFonts w:hint="eastAsia"/>
        <w:b w:val="0"/>
        <w:bCs w:val="0"/>
        <w:i w:val="0"/>
        <w:iCs w:val="0"/>
        <w:caps w:val="0"/>
        <w:smallCaps w:val="0"/>
        <w:strike w:val="0"/>
        <w:dstrike w:val="0"/>
        <w:vanish w:val="0"/>
        <w:color w:val="000000"/>
        <w:spacing w:val="0"/>
        <w:position w:val="0"/>
        <w:u w:val="none"/>
        <w:vertAlign w:val="baseline"/>
      </w:rPr>
    </w:lvl>
    <w:lvl w:ilvl="3" w:tentative="0">
      <w:start w:val="1"/>
      <w:numFmt w:val="decimal"/>
      <w:lvlText w:val="%1.%2.%3.%4"/>
      <w:lvlJc w:val="left"/>
      <w:pPr>
        <w:ind w:left="425" w:hanging="425"/>
      </w:pPr>
      <w:rPr>
        <w:rFonts w:hint="eastAsia"/>
      </w:rPr>
    </w:lvl>
    <w:lvl w:ilvl="4" w:tentative="0">
      <w:start w:val="1"/>
      <w:numFmt w:val="decimal"/>
      <w:lvlText w:val="%1.%2.%3.%4.%5"/>
      <w:lvlJc w:val="left"/>
      <w:pPr>
        <w:ind w:left="425" w:hanging="425"/>
      </w:pPr>
      <w:rPr>
        <w:rFonts w:hint="eastAsia"/>
      </w:rPr>
    </w:lvl>
    <w:lvl w:ilvl="5" w:tentative="0">
      <w:start w:val="1"/>
      <w:numFmt w:val="decimal"/>
      <w:lvlText w:val="%1.%2.%3.%4.%5.%6"/>
      <w:lvlJc w:val="left"/>
      <w:pPr>
        <w:ind w:left="425" w:hanging="425"/>
      </w:pPr>
      <w:rPr>
        <w:rFonts w:hint="eastAsia"/>
      </w:rPr>
    </w:lvl>
    <w:lvl w:ilvl="6" w:tentative="0">
      <w:start w:val="1"/>
      <w:numFmt w:val="decimal"/>
      <w:lvlText w:val="%1.%2.%3.%4.%5.%6.%7"/>
      <w:lvlJc w:val="left"/>
      <w:pPr>
        <w:ind w:left="425" w:hanging="425"/>
      </w:pPr>
      <w:rPr>
        <w:rFonts w:hint="eastAsia"/>
      </w:rPr>
    </w:lvl>
    <w:lvl w:ilvl="7" w:tentative="0">
      <w:start w:val="1"/>
      <w:numFmt w:val="decimal"/>
      <w:lvlText w:val="%1.%2.%3.%4.%5.%6.%7.%8"/>
      <w:lvlJc w:val="left"/>
      <w:pPr>
        <w:ind w:left="425" w:hanging="425"/>
      </w:pPr>
      <w:rPr>
        <w:rFonts w:hint="eastAsia"/>
      </w:rPr>
    </w:lvl>
    <w:lvl w:ilvl="8" w:tentative="0">
      <w:start w:val="1"/>
      <w:numFmt w:val="decimal"/>
      <w:lvlText w:val="%1.%2.%3.%4.%5.%6.%7.%8.%9"/>
      <w:lvlJc w:val="left"/>
      <w:pPr>
        <w:ind w:left="425" w:hanging="425"/>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159764A"/>
    <w:rsid w:val="315976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Theme="minorEastAsia" w:cstheme="minorBidi"/>
      <w:kern w:val="2"/>
      <w:sz w:val="24"/>
      <w:szCs w:val="22"/>
      <w:lang w:val="en-US" w:eastAsia="zh-CN" w:bidi="ar-SA"/>
    </w:rPr>
  </w:style>
  <w:style w:type="paragraph" w:styleId="3">
    <w:name w:val="heading 1"/>
    <w:basedOn w:val="1"/>
    <w:next w:val="1"/>
    <w:qFormat/>
    <w:uiPriority w:val="0"/>
    <w:pPr>
      <w:keepNext/>
      <w:keepLines/>
      <w:numPr>
        <w:ilvl w:val="0"/>
        <w:numId w:val="1"/>
      </w:numPr>
      <w:spacing w:beforeLines="50" w:afterLines="50"/>
      <w:ind w:left="0" w:firstLine="0" w:firstLineChars="0"/>
      <w:jc w:val="center"/>
      <w:outlineLvl w:val="0"/>
    </w:pPr>
    <w:rPr>
      <w:rFonts w:eastAsia="黑体"/>
      <w:bCs/>
      <w:kern w:val="44"/>
      <w:sz w:val="36"/>
      <w:szCs w:val="44"/>
    </w:rPr>
  </w:style>
  <w:style w:type="paragraph" w:styleId="4">
    <w:name w:val="heading 2"/>
    <w:basedOn w:val="1"/>
    <w:next w:val="1"/>
    <w:unhideWhenUsed/>
    <w:qFormat/>
    <w:uiPriority w:val="0"/>
    <w:pPr>
      <w:keepNext/>
      <w:keepLines/>
      <w:numPr>
        <w:ilvl w:val="1"/>
        <w:numId w:val="1"/>
      </w:numPr>
      <w:spacing w:beforeLines="50"/>
      <w:ind w:firstLineChars="0"/>
      <w:outlineLvl w:val="1"/>
    </w:pPr>
    <w:rPr>
      <w:rFonts w:eastAsia="黑体" w:cstheme="majorBidi"/>
      <w:bCs/>
      <w:sz w:val="30"/>
      <w:szCs w:val="32"/>
    </w:rPr>
  </w:style>
  <w:style w:type="paragraph" w:styleId="5">
    <w:name w:val="heading 3"/>
    <w:basedOn w:val="1"/>
    <w:next w:val="1"/>
    <w:unhideWhenUsed/>
    <w:qFormat/>
    <w:uiPriority w:val="0"/>
    <w:pPr>
      <w:keepNext/>
      <w:keepLines/>
      <w:numPr>
        <w:ilvl w:val="2"/>
        <w:numId w:val="1"/>
      </w:numPr>
      <w:adjustRightInd w:val="0"/>
      <w:snapToGrid w:val="0"/>
      <w:spacing w:before="260" w:after="260" w:line="240" w:lineRule="auto"/>
      <w:ind w:firstLine="0" w:firstLineChars="0"/>
      <w:outlineLvl w:val="2"/>
    </w:pPr>
    <w:rPr>
      <w:rFonts w:eastAsia="黑体" w:cs="Times New Roman"/>
      <w:bCs/>
      <w:sz w:val="28"/>
      <w:szCs w:val="32"/>
    </w:rPr>
  </w:style>
  <w:style w:type="character" w:default="1" w:styleId="9">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customStyle="1" w:styleId="2">
    <w:name w:val="li_正文"/>
    <w:basedOn w:val="1"/>
    <w:qFormat/>
    <w:uiPriority w:val="99"/>
    <w:pPr>
      <w:tabs>
        <w:tab w:val="left" w:pos="2340"/>
        <w:tab w:val="left" w:pos="4320"/>
      </w:tabs>
      <w:ind w:firstLine="530" w:firstLineChars="200"/>
      <w:jc w:val="left"/>
    </w:pPr>
    <w:rPr>
      <w:sz w:val="28"/>
      <w:szCs w:val="28"/>
    </w:rPr>
  </w:style>
  <w:style w:type="paragraph" w:styleId="6">
    <w:name w:val="caption"/>
    <w:basedOn w:val="1"/>
    <w:next w:val="1"/>
    <w:qFormat/>
    <w:uiPriority w:val="0"/>
    <w:pPr>
      <w:spacing w:line="240" w:lineRule="auto"/>
      <w:ind w:firstLine="0" w:firstLineChars="0"/>
    </w:pPr>
    <w:rPr>
      <w:rFonts w:ascii="Arial" w:hAnsi="Arial" w:eastAsia="黑体" w:cs="Arial"/>
      <w:color w:val="000000"/>
    </w:rPr>
  </w:style>
  <w:style w:type="table" w:styleId="8">
    <w:name w:val="Table Grid"/>
    <w:basedOn w:val="7"/>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10">
    <w:name w:val="我的表格"/>
    <w:basedOn w:val="1"/>
    <w:qFormat/>
    <w:uiPriority w:val="0"/>
    <w:pPr>
      <w:autoSpaceDE w:val="0"/>
      <w:autoSpaceDN w:val="0"/>
      <w:adjustRightInd w:val="0"/>
      <w:spacing w:line="240" w:lineRule="auto"/>
      <w:ind w:firstLine="0" w:firstLineChars="0"/>
      <w:jc w:val="center"/>
    </w:pPr>
    <w:rPr>
      <w:rFonts w:eastAsia="宋体" w:cs="Times New Roman"/>
      <w:kern w:val="0"/>
      <w:sz w:val="21"/>
      <w:szCs w:val="21"/>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Office_11.1.0.9192_F1E327BC-269C-435d-A152-05C5408002CA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2021-07-01T09:22:00Z</dcterms:created>
  <dc:creator>邵这这</dc:creator>
  <cp:lastModifiedBy>邵这这</cp:lastModifiedBy>
  <dcterms:modified xsi:type="dcterms:W3CDTF">2021-07-01T09:22:53Z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2052-11.1.0.9192</vt:lpwstr>
  </property>
</Properties>
</file>