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63" w:after="163"/>
        <w:rPr>
          <w:rFonts w:cs="Times New Roman" w:eastAsiaTheme="minorEastAsia"/>
        </w:rPr>
      </w:pPr>
      <w:bookmarkStart w:id="0" w:name="_Toc17386405"/>
      <w:bookmarkStart w:id="1" w:name="_Toc505620360"/>
      <w:bookmarkStart w:id="2" w:name="_Toc6801"/>
      <w:r>
        <w:rPr>
          <w:rFonts w:cs="Times New Roman" w:eastAsiaTheme="minorEastAsia"/>
        </w:rPr>
        <w:t>环境影响预测与评价</w:t>
      </w:r>
      <w:bookmarkEnd w:id="0"/>
      <w:bookmarkEnd w:id="1"/>
      <w:bookmarkEnd w:id="2"/>
    </w:p>
    <w:p>
      <w:pPr>
        <w:pStyle w:val="4"/>
        <w:spacing w:before="163"/>
        <w:rPr>
          <w:rFonts w:cs="Times New Roman" w:eastAsiaTheme="minorEastAsia"/>
        </w:rPr>
      </w:pPr>
      <w:bookmarkStart w:id="3" w:name="_Toc505620361"/>
      <w:bookmarkStart w:id="4" w:name="_Toc17386406"/>
      <w:bookmarkStart w:id="5" w:name="_Toc28142"/>
      <w:r>
        <w:rPr>
          <w:rFonts w:cs="Times New Roman" w:eastAsiaTheme="minorEastAsia"/>
        </w:rPr>
        <w:t>施工期环境影响分析</w:t>
      </w:r>
      <w:bookmarkEnd w:id="3"/>
      <w:r>
        <w:rPr>
          <w:rFonts w:cs="Times New Roman" w:eastAsiaTheme="minorEastAsia"/>
        </w:rPr>
        <w:t>与评价</w:t>
      </w:r>
      <w:bookmarkEnd w:id="4"/>
      <w:bookmarkEnd w:id="5"/>
    </w:p>
    <w:p>
      <w:pPr>
        <w:pStyle w:val="5"/>
        <w:rPr>
          <w:rFonts w:eastAsiaTheme="minorEastAsia"/>
        </w:rPr>
      </w:pPr>
      <w:bookmarkStart w:id="6" w:name="_Toc17386407"/>
      <w:r>
        <w:rPr>
          <w:rFonts w:eastAsiaTheme="minorEastAsia"/>
        </w:rPr>
        <w:t>施工内容及影响因素</w:t>
      </w:r>
      <w:bookmarkEnd w:id="6"/>
    </w:p>
    <w:p>
      <w:pPr>
        <w:ind w:firstLine="480"/>
        <w:rPr>
          <w:rFonts w:cs="Times New Roman"/>
        </w:rPr>
      </w:pPr>
      <w:r>
        <w:rPr>
          <w:rFonts w:cs="Times New Roman"/>
        </w:rPr>
        <w:t>1、主要施工内容</w:t>
      </w:r>
    </w:p>
    <w:p>
      <w:pPr>
        <w:ind w:firstLine="480"/>
        <w:rPr>
          <w:rFonts w:cs="Times New Roman"/>
        </w:rPr>
      </w:pPr>
      <w:r>
        <w:rPr>
          <w:rFonts w:cs="Times New Roman"/>
        </w:rPr>
        <w:t>主要施工内容包括测量定线，清理施工现场、平整工作带，管材防腐绝缘后运到现场开始布管、组装焊接、无损探伤、补口及防腐检漏，在完成管沟开挖、公路穿越等基础工作以后下沟，试压，连接，扫线，阴极保护，覆土回填，恢复地貌，竣工验收。</w:t>
      </w:r>
    </w:p>
    <w:p>
      <w:pPr>
        <w:ind w:firstLine="480"/>
        <w:rPr>
          <w:rFonts w:cs="Times New Roman"/>
        </w:rPr>
      </w:pPr>
      <w:r>
        <w:rPr>
          <w:rFonts w:cs="Times New Roman"/>
        </w:rPr>
        <w:t>2、主要影响因素</w:t>
      </w:r>
    </w:p>
    <w:p>
      <w:pPr>
        <w:ind w:firstLine="480"/>
        <w:rPr>
          <w:rFonts w:cs="Times New Roman"/>
        </w:rPr>
      </w:pPr>
      <w:r>
        <w:rPr>
          <w:rFonts w:cs="Times New Roman"/>
        </w:rPr>
        <w:t>在施工期间各施工活动对周围环境的影响因素包括施工废水、扬尘、噪声和施工垃圾、废弃</w:t>
      </w:r>
      <w:r>
        <w:rPr>
          <w:rFonts w:hint="eastAsia" w:cs="Times New Roman"/>
        </w:rPr>
        <w:t>管道</w:t>
      </w:r>
      <w:r>
        <w:rPr>
          <w:rFonts w:cs="Times New Roman"/>
        </w:rPr>
        <w:t>。</w:t>
      </w:r>
    </w:p>
    <w:p>
      <w:pPr>
        <w:pStyle w:val="5"/>
        <w:rPr>
          <w:rFonts w:eastAsiaTheme="minorEastAsia"/>
        </w:rPr>
      </w:pPr>
      <w:bookmarkStart w:id="7" w:name="_Toc17386408"/>
      <w:r>
        <w:rPr>
          <w:rFonts w:eastAsiaTheme="minorEastAsia"/>
        </w:rPr>
        <w:t>施工期废气环境影响分析与评价</w:t>
      </w:r>
      <w:bookmarkEnd w:id="7"/>
    </w:p>
    <w:p>
      <w:pPr>
        <w:ind w:firstLine="480"/>
      </w:pPr>
      <w:r>
        <w:rPr>
          <w:rFonts w:hint="eastAsia"/>
        </w:rPr>
        <w:t>1、</w:t>
      </w:r>
      <w:r>
        <w:t xml:space="preserve"> 扬尘（粉尘）的影响分析</w:t>
      </w:r>
    </w:p>
    <w:p>
      <w:pPr>
        <w:ind w:firstLine="480"/>
        <w:rPr>
          <w:rFonts w:cs="Times New Roman"/>
        </w:rPr>
      </w:pPr>
      <w:r>
        <w:rPr>
          <w:rFonts w:cs="Times New Roman"/>
        </w:rPr>
        <w:t>（1）车辆行驶扬尘</w:t>
      </w:r>
    </w:p>
    <w:p>
      <w:pPr>
        <w:ind w:firstLine="480"/>
        <w:rPr>
          <w:rFonts w:cs="Times New Roman"/>
        </w:rPr>
      </w:pPr>
      <w:r>
        <w:rPr>
          <w:rFonts w:cs="Times New Roman"/>
        </w:rPr>
        <w:t>根据调查，施工工地的扬尘主要是由运输车辆行驶产生，与施工场地路面情况及车辆行驶速度有关，约占总扬尘量的60%。在完全干旱情况下，可以按公式计算：</w:t>
      </w:r>
    </w:p>
    <w:p>
      <w:pPr>
        <w:ind w:firstLine="480"/>
        <w:jc w:val="center"/>
        <w:rPr>
          <w:rFonts w:cs="Times New Roman"/>
        </w:rPr>
      </w:pPr>
      <w:r>
        <w:rPr>
          <w:rFonts w:cs="Times New Roman"/>
        </w:rPr>
        <w:t>Q=0.123</w:t>
      </w:r>
      <w:r>
        <w:rPr>
          <w:rFonts w:hint="eastAsia" w:cs="Times New Roman"/>
        </w:rPr>
        <w:t>（</w:t>
      </w:r>
      <w:r>
        <w:rPr>
          <w:rFonts w:cs="Times New Roman"/>
        </w:rPr>
        <w:t>V÷5</w:t>
      </w:r>
      <w:r>
        <w:rPr>
          <w:rFonts w:hint="eastAsia" w:cs="Times New Roman"/>
        </w:rPr>
        <w:t>）</w:t>
      </w:r>
      <w:r>
        <w:rPr>
          <w:rFonts w:cs="Times New Roman"/>
        </w:rPr>
        <w:t>×</w:t>
      </w:r>
      <w:r>
        <w:rPr>
          <w:rFonts w:hint="eastAsia" w:cs="Times New Roman"/>
        </w:rPr>
        <w:t>（</w:t>
      </w:r>
      <w:r>
        <w:rPr>
          <w:rFonts w:cs="Times New Roman"/>
        </w:rPr>
        <w:t>W÷6.8</w:t>
      </w:r>
      <w:r>
        <w:rPr>
          <w:rFonts w:hint="eastAsia" w:cs="Times New Roman"/>
        </w:rPr>
        <w:t>）</w:t>
      </w:r>
      <w:r>
        <w:rPr>
          <w:rFonts w:cs="Times New Roman"/>
        </w:rPr>
        <w:t xml:space="preserve"> ×0.85×</w:t>
      </w:r>
      <w:r>
        <w:rPr>
          <w:rFonts w:hint="eastAsia" w:cs="Times New Roman"/>
        </w:rPr>
        <w:t>（</w:t>
      </w:r>
      <w:r>
        <w:rPr>
          <w:rFonts w:cs="Times New Roman"/>
        </w:rPr>
        <w:t>P÷0.5</w:t>
      </w:r>
      <w:r>
        <w:rPr>
          <w:rFonts w:hint="eastAsia" w:cs="Times New Roman"/>
        </w:rPr>
        <w:t>）</w:t>
      </w:r>
      <w:r>
        <w:rPr>
          <w:rFonts w:cs="Times New Roman"/>
        </w:rPr>
        <w:t xml:space="preserve"> ×0.75</w:t>
      </w:r>
    </w:p>
    <w:p>
      <w:pPr>
        <w:ind w:firstLine="480"/>
        <w:rPr>
          <w:rFonts w:cs="Times New Roman"/>
        </w:rPr>
      </w:pPr>
      <w:r>
        <w:rPr>
          <w:rFonts w:cs="Times New Roman"/>
        </w:rPr>
        <w:t>式中：Q：汽车行驶的扬尘，kg/km.辆；</w:t>
      </w:r>
    </w:p>
    <w:p>
      <w:pPr>
        <w:ind w:firstLine="480"/>
        <w:rPr>
          <w:rFonts w:cs="Times New Roman"/>
        </w:rPr>
      </w:pPr>
      <w:r>
        <w:rPr>
          <w:rFonts w:cs="Times New Roman"/>
        </w:rPr>
        <w:t>V：汽车行驶速度，km/h；</w:t>
      </w:r>
    </w:p>
    <w:p>
      <w:pPr>
        <w:ind w:firstLine="480"/>
        <w:rPr>
          <w:rFonts w:cs="Times New Roman"/>
        </w:rPr>
      </w:pPr>
      <w:r>
        <w:rPr>
          <w:rFonts w:cs="Times New Roman"/>
        </w:rPr>
        <w:t>W：汽车载重量，吨；</w:t>
      </w:r>
    </w:p>
    <w:p>
      <w:pPr>
        <w:ind w:firstLine="480"/>
        <w:rPr>
          <w:rFonts w:cs="Times New Roman"/>
        </w:rPr>
      </w:pPr>
      <w:r>
        <w:rPr>
          <w:rFonts w:cs="Times New Roman"/>
        </w:rPr>
        <w:t>P：道路表面粉尘量，kg/m</w:t>
      </w:r>
      <w:r>
        <w:rPr>
          <w:rFonts w:cs="Times New Roman"/>
          <w:vertAlign w:val="superscript"/>
        </w:rPr>
        <w:t xml:space="preserve"> 2</w:t>
      </w:r>
      <w:r>
        <w:rPr>
          <w:rFonts w:cs="Times New Roman"/>
        </w:rPr>
        <w:t>。</w:t>
      </w:r>
    </w:p>
    <w:p>
      <w:pPr>
        <w:ind w:firstLine="480"/>
        <w:rPr>
          <w:rFonts w:cs="Times New Roman"/>
        </w:rPr>
      </w:pPr>
      <w:r>
        <w:rPr>
          <w:rFonts w:cs="Times New Roman"/>
        </w:rPr>
        <w:t>下表为一辆 10 吨的卡车，通过一段长度 1km 的路面时，不同路面清洁程度，不同行驶速度情况下的扬尘量。</w:t>
      </w:r>
    </w:p>
    <w:p>
      <w:pPr>
        <w:ind w:firstLine="480"/>
        <w:rPr>
          <w:rFonts w:cs="Times New Roman"/>
        </w:rPr>
      </w:pPr>
    </w:p>
    <w:p>
      <w:pPr>
        <w:spacing w:beforeLines="30" w:afterLines="30" w:line="240" w:lineRule="auto"/>
        <w:ind w:firstLine="0" w:firstLineChars="0"/>
        <w:jc w:val="center"/>
        <w:rPr>
          <w:rFonts w:cs="Times New Roman"/>
          <w:b/>
          <w:szCs w:val="20"/>
        </w:rPr>
      </w:pPr>
      <w:r>
        <w:rPr>
          <w:rFonts w:cs="Times New Roman"/>
          <w:b/>
          <w:szCs w:val="20"/>
        </w:rPr>
        <w:t>表4.1-1  不同路面清洁程度、不通行驶速度的汽车扬尘（kg/辆.km）</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16"/>
        <w:gridCol w:w="1216"/>
        <w:gridCol w:w="1217"/>
        <w:gridCol w:w="1217"/>
        <w:gridCol w:w="1217"/>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l2br w:val="nil"/>
              <w:tr2bl w:val="nil"/>
            </w:tcBorders>
            <w:vAlign w:val="center"/>
          </w:tcPr>
          <w:p>
            <w:pPr>
              <w:spacing w:line="240" w:lineRule="auto"/>
              <w:ind w:firstLine="210" w:firstLineChars="100"/>
              <w:jc w:val="center"/>
              <w:rPr>
                <w:rFonts w:cs="Times New Roman"/>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-10160</wp:posOffset>
                      </wp:positionV>
                      <wp:extent cx="819150" cy="419100"/>
                      <wp:effectExtent l="1905" t="4445" r="17145" b="14605"/>
                      <wp:wrapNone/>
                      <wp:docPr id="11" name="直接连接符 11"/>
                      <wp:cNvGraphicFramePr/>
                      <a:graphic xmlns:a="http://schemas.openxmlformats.org/drawingml/2006/main">
                        <a:graphicData uri="http://schemas.microsoft.com/office/word/2010/wordprocessingShape">
                          <wps:wsp>
                            <wps:cNvCnPr/>
                            <wps:spPr>
                              <a:xfrm>
                                <a:off x="903605" y="1192530"/>
                                <a:ext cx="819150" cy="41910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35pt;margin-top:-0.8pt;height:33pt;width:64.5pt;z-index:251659264;mso-width-relative:page;mso-height-relative:page;" filled="f" stroked="t" coordsize="21600,21600" o:gfxdata="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qP4gXXAAAACQEAAA8AAAAAAAAAAQAgAAAAIgAA&#10;AGRycy9kb3ducmV2LnhtbFBLAQIUABQAAAAIAIdO4kBAo/sW0AEAAGsDAAAOAAAAAAAAAAEAIAAA&#10;ACYBAABkcnMvZTJvRG9jLnhtbFBLBQYAAAAABgAGAFkBAABoBQAAAAA=&#10;">
                      <v:fill on="f" focussize="0,0"/>
                      <v:stroke color="#000000" joinstyle="round"/>
                      <v:imagedata o:title=""/>
                      <o:lock v:ext="edit" aspectratio="f"/>
                    </v:line>
                  </w:pict>
                </mc:Fallback>
              </mc:AlternateContent>
            </w:r>
            <w:r>
              <w:rPr>
                <w:rFonts w:cs="Times New Roman"/>
                <w:b/>
                <w:sz w:val="21"/>
                <w:szCs w:val="21"/>
              </w:rPr>
              <w:t>清洁度</w:t>
            </w:r>
          </w:p>
          <w:p>
            <w:pPr>
              <w:spacing w:line="240" w:lineRule="auto"/>
              <w:ind w:firstLine="0" w:firstLineChars="0"/>
              <w:rPr>
                <w:rFonts w:cs="Times New Roman"/>
                <w:b/>
                <w:sz w:val="21"/>
                <w:szCs w:val="21"/>
              </w:rPr>
            </w:pPr>
            <w:r>
              <w:rPr>
                <w:rFonts w:cs="Times New Roman"/>
                <w:b/>
                <w:sz w:val="21"/>
                <w:szCs w:val="21"/>
              </w:rPr>
              <w:t>车速</w:t>
            </w:r>
          </w:p>
        </w:tc>
        <w:tc>
          <w:tcPr>
            <w:tcW w:w="1293" w:type="dxa"/>
            <w:tcBorders>
              <w:tl2br w:val="nil"/>
              <w:tr2bl w:val="nil"/>
            </w:tcBorders>
            <w:vAlign w:val="center"/>
          </w:tcPr>
          <w:p>
            <w:pPr>
              <w:spacing w:line="240" w:lineRule="auto"/>
              <w:ind w:firstLine="0" w:firstLineChars="0"/>
              <w:jc w:val="center"/>
              <w:rPr>
                <w:rFonts w:cs="Times New Roman"/>
                <w:b/>
                <w:sz w:val="21"/>
                <w:szCs w:val="21"/>
                <w:vertAlign w:val="superscript"/>
              </w:rPr>
            </w:pPr>
            <w:r>
              <w:rPr>
                <w:rFonts w:cs="Times New Roman"/>
                <w:b/>
                <w:sz w:val="21"/>
                <w:szCs w:val="21"/>
              </w:rPr>
              <w:t>0.1kg/m</w:t>
            </w:r>
            <w:r>
              <w:rPr>
                <w:rFonts w:cs="Times New Roman"/>
                <w:b/>
                <w:sz w:val="21"/>
                <w:szCs w:val="21"/>
                <w:vertAlign w:val="superscript"/>
              </w:rPr>
              <w:t>2</w:t>
            </w:r>
          </w:p>
        </w:tc>
        <w:tc>
          <w:tcPr>
            <w:tcW w:w="1293" w:type="dxa"/>
            <w:tcBorders>
              <w:tl2br w:val="nil"/>
              <w:tr2bl w:val="nil"/>
            </w:tcBorders>
            <w:vAlign w:val="center"/>
          </w:tcPr>
          <w:p>
            <w:pPr>
              <w:spacing w:line="240" w:lineRule="auto"/>
              <w:ind w:firstLine="0" w:firstLineChars="0"/>
              <w:jc w:val="center"/>
              <w:rPr>
                <w:rFonts w:cs="Times New Roman"/>
                <w:b/>
                <w:sz w:val="21"/>
                <w:szCs w:val="21"/>
              </w:rPr>
            </w:pPr>
            <w:r>
              <w:rPr>
                <w:rFonts w:cs="Times New Roman"/>
                <w:b/>
                <w:sz w:val="21"/>
                <w:szCs w:val="21"/>
              </w:rPr>
              <w:t>0.2kg/m</w:t>
            </w:r>
            <w:r>
              <w:rPr>
                <w:rFonts w:cs="Times New Roman"/>
                <w:b/>
                <w:sz w:val="21"/>
                <w:szCs w:val="21"/>
                <w:vertAlign w:val="superscript"/>
              </w:rPr>
              <w:t>2</w:t>
            </w:r>
          </w:p>
        </w:tc>
        <w:tc>
          <w:tcPr>
            <w:tcW w:w="1294" w:type="dxa"/>
            <w:tcBorders>
              <w:tl2br w:val="nil"/>
              <w:tr2bl w:val="nil"/>
            </w:tcBorders>
            <w:vAlign w:val="center"/>
          </w:tcPr>
          <w:p>
            <w:pPr>
              <w:spacing w:line="240" w:lineRule="auto"/>
              <w:ind w:firstLine="0" w:firstLineChars="0"/>
              <w:jc w:val="center"/>
              <w:rPr>
                <w:rFonts w:cs="Times New Roman"/>
                <w:b/>
                <w:sz w:val="21"/>
                <w:szCs w:val="21"/>
              </w:rPr>
            </w:pPr>
            <w:r>
              <w:rPr>
                <w:rFonts w:cs="Times New Roman"/>
                <w:b/>
                <w:sz w:val="21"/>
                <w:szCs w:val="21"/>
              </w:rPr>
              <w:t>0.3kg/m</w:t>
            </w:r>
            <w:r>
              <w:rPr>
                <w:rFonts w:cs="Times New Roman"/>
                <w:b/>
                <w:sz w:val="21"/>
                <w:szCs w:val="21"/>
                <w:vertAlign w:val="superscript"/>
              </w:rPr>
              <w:t>2</w:t>
            </w:r>
          </w:p>
        </w:tc>
        <w:tc>
          <w:tcPr>
            <w:tcW w:w="1294" w:type="dxa"/>
            <w:tcBorders>
              <w:tl2br w:val="nil"/>
              <w:tr2bl w:val="nil"/>
            </w:tcBorders>
            <w:vAlign w:val="center"/>
          </w:tcPr>
          <w:p>
            <w:pPr>
              <w:spacing w:line="240" w:lineRule="auto"/>
              <w:ind w:firstLine="0" w:firstLineChars="0"/>
              <w:jc w:val="center"/>
              <w:rPr>
                <w:rFonts w:cs="Times New Roman"/>
                <w:b/>
                <w:sz w:val="21"/>
                <w:szCs w:val="21"/>
              </w:rPr>
            </w:pPr>
            <w:r>
              <w:rPr>
                <w:rFonts w:cs="Times New Roman"/>
                <w:b/>
                <w:sz w:val="21"/>
                <w:szCs w:val="21"/>
              </w:rPr>
              <w:t>0.4kg/m</w:t>
            </w:r>
            <w:r>
              <w:rPr>
                <w:rFonts w:cs="Times New Roman"/>
                <w:b/>
                <w:sz w:val="21"/>
                <w:szCs w:val="21"/>
                <w:vertAlign w:val="superscript"/>
              </w:rPr>
              <w:t>2</w:t>
            </w:r>
          </w:p>
        </w:tc>
        <w:tc>
          <w:tcPr>
            <w:tcW w:w="1294" w:type="dxa"/>
            <w:tcBorders>
              <w:tl2br w:val="nil"/>
              <w:tr2bl w:val="nil"/>
            </w:tcBorders>
            <w:vAlign w:val="center"/>
          </w:tcPr>
          <w:p>
            <w:pPr>
              <w:spacing w:line="240" w:lineRule="auto"/>
              <w:ind w:firstLine="0" w:firstLineChars="0"/>
              <w:jc w:val="center"/>
              <w:rPr>
                <w:rFonts w:cs="Times New Roman"/>
                <w:b/>
                <w:sz w:val="21"/>
                <w:szCs w:val="21"/>
              </w:rPr>
            </w:pPr>
            <w:r>
              <w:rPr>
                <w:rFonts w:cs="Times New Roman"/>
                <w:b/>
                <w:sz w:val="21"/>
                <w:szCs w:val="21"/>
              </w:rPr>
              <w:t>0.5kg/m</w:t>
            </w:r>
            <w:r>
              <w:rPr>
                <w:rFonts w:cs="Times New Roman"/>
                <w:b/>
                <w:sz w:val="21"/>
                <w:szCs w:val="21"/>
                <w:vertAlign w:val="superscript"/>
              </w:rPr>
              <w:t>2</w:t>
            </w:r>
          </w:p>
        </w:tc>
        <w:tc>
          <w:tcPr>
            <w:tcW w:w="1291" w:type="dxa"/>
            <w:tcBorders>
              <w:tl2br w:val="nil"/>
              <w:tr2bl w:val="nil"/>
            </w:tcBorders>
            <w:vAlign w:val="center"/>
          </w:tcPr>
          <w:p>
            <w:pPr>
              <w:spacing w:line="240" w:lineRule="auto"/>
              <w:ind w:firstLine="0" w:firstLineChars="0"/>
              <w:jc w:val="center"/>
              <w:rPr>
                <w:rFonts w:cs="Times New Roman"/>
                <w:b/>
                <w:sz w:val="21"/>
                <w:szCs w:val="21"/>
              </w:rPr>
            </w:pPr>
            <w:r>
              <w:rPr>
                <w:rFonts w:cs="Times New Roman"/>
                <w:b/>
                <w:sz w:val="21"/>
                <w:szCs w:val="21"/>
              </w:rPr>
              <w:t>0.6kg/m</w:t>
            </w:r>
            <w:r>
              <w:rPr>
                <w:rFonts w:cs="Times New Roman"/>
                <w:b/>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5（km/h）</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0.0511</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0.0856</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0.1164</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0.1444</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0.1707</w:t>
            </w:r>
          </w:p>
        </w:tc>
        <w:tc>
          <w:tcPr>
            <w:tcW w:w="1291"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0.2871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10（km/h）</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0.1021</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0.1717</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0.2328</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0.2888</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0.3414</w:t>
            </w:r>
          </w:p>
        </w:tc>
        <w:tc>
          <w:tcPr>
            <w:tcW w:w="1291"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0.5742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15（km/h）</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0.1532</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0.2576</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0.3491</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0.4332</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0.5121</w:t>
            </w:r>
          </w:p>
        </w:tc>
        <w:tc>
          <w:tcPr>
            <w:tcW w:w="1291"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0.8613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25（km/h）</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0.2553</w:t>
            </w:r>
          </w:p>
        </w:tc>
        <w:tc>
          <w:tcPr>
            <w:tcW w:w="129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0.4293</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0.5819</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0.7220</w:t>
            </w:r>
          </w:p>
        </w:tc>
        <w:tc>
          <w:tcPr>
            <w:tcW w:w="129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0.8536</w:t>
            </w:r>
          </w:p>
        </w:tc>
        <w:tc>
          <w:tcPr>
            <w:tcW w:w="1291"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1.4255</w:t>
            </w:r>
          </w:p>
        </w:tc>
      </w:tr>
    </w:tbl>
    <w:p>
      <w:pPr>
        <w:ind w:firstLine="480"/>
        <w:rPr>
          <w:rFonts w:cs="Times New Roman"/>
        </w:rPr>
      </w:pPr>
      <w:r>
        <w:rPr>
          <w:rFonts w:cs="Times New Roman"/>
        </w:rPr>
        <w:t>车辆在行驶过程中产生的扬尘，在完全干燥的情况以及同样的路面条件下，车速越快，扬尘量越大；在同样的车速下，路面越脏，扬尘量越大。在施工期间对车辆行驶的路面实施洒水抑尘，试验结果详见表4.1-2。</w:t>
      </w:r>
    </w:p>
    <w:p>
      <w:pPr>
        <w:spacing w:beforeLines="30" w:afterLines="30" w:line="240" w:lineRule="auto"/>
        <w:ind w:firstLine="0" w:firstLineChars="0"/>
        <w:jc w:val="center"/>
        <w:rPr>
          <w:rFonts w:cs="Times New Roman"/>
          <w:b/>
          <w:szCs w:val="20"/>
        </w:rPr>
      </w:pPr>
      <w:r>
        <w:rPr>
          <w:rFonts w:cs="Times New Roman"/>
          <w:b/>
          <w:szCs w:val="20"/>
        </w:rPr>
        <w:t>表4.1-2  施工场地洒水试验结果</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283"/>
        <w:gridCol w:w="1376"/>
        <w:gridCol w:w="1368"/>
        <w:gridCol w:w="1368"/>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228" w:type="dxa"/>
            <w:gridSpan w:val="2"/>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距离（m）</w:t>
            </w:r>
          </w:p>
        </w:tc>
        <w:tc>
          <w:tcPr>
            <w:tcW w:w="14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5</w:t>
            </w:r>
          </w:p>
        </w:tc>
        <w:tc>
          <w:tcPr>
            <w:tcW w:w="145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20</w:t>
            </w:r>
          </w:p>
        </w:tc>
        <w:tc>
          <w:tcPr>
            <w:tcW w:w="145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50</w:t>
            </w:r>
          </w:p>
        </w:tc>
        <w:tc>
          <w:tcPr>
            <w:tcW w:w="14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865" w:type="dxa"/>
            <w:vMerge w:val="restart"/>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TSP小时平均浓度（mg/m</w:t>
            </w:r>
            <w:r>
              <w:rPr>
                <w:rFonts w:cs="Times New Roman"/>
                <w:sz w:val="21"/>
                <w:szCs w:val="21"/>
                <w:vertAlign w:val="superscript"/>
              </w:rPr>
              <w:t>3</w:t>
            </w:r>
            <w:r>
              <w:rPr>
                <w:rFonts w:cs="Times New Roman"/>
                <w:sz w:val="21"/>
                <w:szCs w:val="21"/>
              </w:rPr>
              <w:t>）</w:t>
            </w:r>
          </w:p>
        </w:tc>
        <w:tc>
          <w:tcPr>
            <w:tcW w:w="13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不洒水</w:t>
            </w:r>
          </w:p>
        </w:tc>
        <w:tc>
          <w:tcPr>
            <w:tcW w:w="14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10.14</w:t>
            </w:r>
          </w:p>
        </w:tc>
        <w:tc>
          <w:tcPr>
            <w:tcW w:w="145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2.89</w:t>
            </w:r>
          </w:p>
        </w:tc>
        <w:tc>
          <w:tcPr>
            <w:tcW w:w="145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1.15</w:t>
            </w:r>
          </w:p>
        </w:tc>
        <w:tc>
          <w:tcPr>
            <w:tcW w:w="14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3228" w:type="dxa"/>
            <w:vMerge w:val="continue"/>
            <w:tcBorders>
              <w:tl2br w:val="nil"/>
              <w:tr2bl w:val="nil"/>
            </w:tcBorders>
            <w:vAlign w:val="center"/>
          </w:tcPr>
          <w:p>
            <w:pPr>
              <w:widowControl/>
              <w:spacing w:line="240" w:lineRule="auto"/>
              <w:ind w:firstLine="0" w:firstLineChars="0"/>
              <w:jc w:val="left"/>
              <w:rPr>
                <w:rFonts w:cs="Times New Roman"/>
                <w:sz w:val="21"/>
                <w:szCs w:val="21"/>
              </w:rPr>
            </w:pPr>
          </w:p>
        </w:tc>
        <w:tc>
          <w:tcPr>
            <w:tcW w:w="13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洒水</w:t>
            </w:r>
          </w:p>
        </w:tc>
        <w:tc>
          <w:tcPr>
            <w:tcW w:w="14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2.01</w:t>
            </w:r>
          </w:p>
        </w:tc>
        <w:tc>
          <w:tcPr>
            <w:tcW w:w="145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1.40</w:t>
            </w:r>
          </w:p>
        </w:tc>
        <w:tc>
          <w:tcPr>
            <w:tcW w:w="1454"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0.67</w:t>
            </w:r>
          </w:p>
        </w:tc>
        <w:tc>
          <w:tcPr>
            <w:tcW w:w="1463" w:type="dxa"/>
            <w:tcBorders>
              <w:tl2br w:val="nil"/>
              <w:tr2bl w:val="nil"/>
            </w:tcBorders>
            <w:vAlign w:val="center"/>
          </w:tcPr>
          <w:p>
            <w:pPr>
              <w:spacing w:line="240" w:lineRule="auto"/>
              <w:ind w:firstLine="0" w:firstLineChars="0"/>
              <w:jc w:val="center"/>
              <w:rPr>
                <w:rFonts w:cs="Times New Roman"/>
                <w:sz w:val="21"/>
                <w:szCs w:val="21"/>
              </w:rPr>
            </w:pPr>
            <w:r>
              <w:rPr>
                <w:rFonts w:cs="Times New Roman"/>
                <w:sz w:val="21"/>
                <w:szCs w:val="21"/>
              </w:rPr>
              <w:t>0.060</w:t>
            </w:r>
          </w:p>
        </w:tc>
      </w:tr>
    </w:tbl>
    <w:p>
      <w:pPr>
        <w:ind w:firstLine="480"/>
        <w:rPr>
          <w:rFonts w:cs="Times New Roman"/>
        </w:rPr>
      </w:pPr>
      <w:r>
        <w:rPr>
          <w:rFonts w:cs="Times New Roman"/>
        </w:rPr>
        <w:t>大风天气对容易起尘的施工道路进行洒水抑尘，同时降低车辆行驶速度，可有效地控制施工扬尘，可将TSP的污染距离缩小到50m左右，距离100m时已基本无影响。距离工程线路最近的村庄超过150m，对周围敏感点不会造成明显影响。</w:t>
      </w:r>
    </w:p>
    <w:p>
      <w:pPr>
        <w:ind w:firstLine="480"/>
        <w:rPr>
          <w:rFonts w:cs="Times New Roman"/>
        </w:rPr>
      </w:pPr>
      <w:r>
        <w:rPr>
          <w:rFonts w:cs="Times New Roman"/>
        </w:rPr>
        <w:t>（2）挖掘作业扬尘</w:t>
      </w:r>
    </w:p>
    <w:p>
      <w:pPr>
        <w:ind w:firstLine="480"/>
        <w:rPr>
          <w:rFonts w:cs="Times New Roman"/>
        </w:rPr>
      </w:pPr>
      <w:r>
        <w:rPr>
          <w:rFonts w:cs="Times New Roman"/>
        </w:rPr>
        <w:t>管道的地面开挖、填埋、土石方堆放过程施工时间较短，作业带内产生的扬尘（粉尘）为无组织面源排放，根据类似工程的实际现场调查：在大风情况下施工现场下风向1m处扬尘浓度可达3mg/m</w:t>
      </w:r>
      <w:r>
        <w:rPr>
          <w:rFonts w:cs="Times New Roman"/>
          <w:vertAlign w:val="superscript"/>
        </w:rPr>
        <w:t>3</w:t>
      </w:r>
      <w:r>
        <w:rPr>
          <w:rFonts w:cs="Times New Roman"/>
        </w:rPr>
        <w:t>以上，25m处为1.53mg/m</w:t>
      </w:r>
      <w:r>
        <w:rPr>
          <w:rFonts w:cs="Times New Roman"/>
          <w:vertAlign w:val="superscript"/>
        </w:rPr>
        <w:t>3</w:t>
      </w:r>
      <w:r>
        <w:rPr>
          <w:rFonts w:cs="Times New Roman"/>
        </w:rPr>
        <w:t>，下风向60m范围内TSP浓度超标。工程管道两侧</w:t>
      </w:r>
      <w:r>
        <w:rPr>
          <w:rFonts w:hint="eastAsia" w:cs="Times New Roman"/>
        </w:rPr>
        <w:t>200m</w:t>
      </w:r>
      <w:r>
        <w:rPr>
          <w:rFonts w:cs="Times New Roman"/>
        </w:rPr>
        <w:t>内敏感点包括</w:t>
      </w:r>
      <w:r>
        <w:rPr>
          <w:rFonts w:hint="eastAsia" w:cs="Times New Roman"/>
        </w:rPr>
        <w:t>韩家村，</w:t>
      </w:r>
      <w:r>
        <w:rPr>
          <w:rFonts w:cs="Times New Roman"/>
        </w:rPr>
        <w:t>与本项目的最近距离为</w:t>
      </w:r>
      <w:r>
        <w:rPr>
          <w:rFonts w:hint="eastAsia" w:cs="Times New Roman"/>
        </w:rPr>
        <w:t>154</w:t>
      </w:r>
      <w:r>
        <w:rPr>
          <w:rFonts w:cs="Times New Roman"/>
        </w:rPr>
        <w:t>m。管线施工作业扬尘污染是短时的，且影响不会很大。采取合理化管理、对容易起尘的作业面和土堆适当喷水、土堆和建筑材料遮盖、大风天停止作业（达到四级及以上风速时）等措施时，管道施工扬尘对周围保护目标的影响会大为降低。</w:t>
      </w:r>
    </w:p>
    <w:p>
      <w:pPr>
        <w:ind w:firstLine="480"/>
      </w:pPr>
      <w:r>
        <w:rPr>
          <w:rFonts w:hint="eastAsia"/>
        </w:rPr>
        <w:t>2、施工机械尾气</w:t>
      </w:r>
    </w:p>
    <w:p>
      <w:pPr>
        <w:ind w:firstLine="480"/>
        <w:rPr>
          <w:rFonts w:cs="Times New Roman"/>
          <w:highlight w:val="none"/>
        </w:rPr>
      </w:pPr>
      <w:r>
        <w:rPr>
          <w:rFonts w:cs="Times New Roman"/>
        </w:rPr>
        <w:t>施工期间，运输汽车、管线在定向钻等大型机械施工中，由于使用柴油机等设备，将产生燃烧烟气，主要污染物为SO</w:t>
      </w:r>
      <w:r>
        <w:rPr>
          <w:rFonts w:cs="Times New Roman"/>
          <w:vertAlign w:val="subscript"/>
        </w:rPr>
        <w:t>2</w:t>
      </w:r>
      <w:r>
        <w:rPr>
          <w:rFonts w:cs="Times New Roman"/>
        </w:rPr>
        <w:t>、NO</w:t>
      </w:r>
      <w:r>
        <w:rPr>
          <w:rFonts w:cs="Times New Roman"/>
          <w:vertAlign w:val="subscript"/>
        </w:rPr>
        <w:t>2</w:t>
      </w:r>
      <w:r>
        <w:rPr>
          <w:rFonts w:cs="Times New Roman"/>
        </w:rPr>
        <w:t>、CmHn等。但由于废气量较小，且施工现场均在野外，有利于空气的扩散，同时废气污染源具有间歇性和流</w:t>
      </w:r>
      <w:r>
        <w:rPr>
          <w:rFonts w:cs="Times New Roman"/>
          <w:highlight w:val="none"/>
        </w:rPr>
        <w:t>动性，因此对局部地区的环境影响较小。</w:t>
      </w:r>
    </w:p>
    <w:p>
      <w:pPr>
        <w:numPr>
          <w:ilvl w:val="0"/>
          <w:numId w:val="2"/>
        </w:numPr>
        <w:ind w:firstLine="480"/>
        <w:rPr>
          <w:highlight w:val="none"/>
        </w:rPr>
      </w:pPr>
      <w:r>
        <w:rPr>
          <w:rFonts w:hint="eastAsia"/>
          <w:highlight w:val="none"/>
        </w:rPr>
        <w:t>焊接烟尘</w:t>
      </w:r>
    </w:p>
    <w:p>
      <w:pPr>
        <w:ind w:firstLine="480"/>
        <w:rPr>
          <w:highlight w:val="none"/>
        </w:rPr>
      </w:pPr>
      <w:r>
        <w:rPr>
          <w:rFonts w:hint="eastAsia"/>
          <w:highlight w:val="none"/>
        </w:rPr>
        <w:t>项目弃置管道封堵以及新管道连接均需要进行焊接，项目所用焊材为铝热焊剂，其用量为8瓶，每瓶500g，故项目铝热焊剂用量为4kg，其发尘量约为2-5g/kg，项目取5g/kg，故焊接烟尘的产生量为0.02kg，产生量较小，且施工场地均在野外，对环境空气的影响较小。</w:t>
      </w:r>
    </w:p>
    <w:p>
      <w:pPr>
        <w:numPr>
          <w:ilvl w:val="0"/>
          <w:numId w:val="2"/>
        </w:numPr>
        <w:ind w:firstLine="480"/>
        <w:rPr>
          <w:highlight w:val="none"/>
        </w:rPr>
      </w:pPr>
      <w:r>
        <w:rPr>
          <w:rFonts w:hint="eastAsia"/>
          <w:highlight w:val="none"/>
        </w:rPr>
        <w:t>管道防腐涂刷废气</w:t>
      </w:r>
    </w:p>
    <w:p>
      <w:pPr>
        <w:ind w:firstLine="480"/>
        <w:rPr>
          <w:rFonts w:cs="Times New Roman"/>
          <w:highlight w:val="none"/>
        </w:rPr>
      </w:pPr>
      <w:r>
        <w:rPr>
          <w:rFonts w:hint="eastAsia" w:cs="Times New Roman"/>
          <w:highlight w:val="none"/>
        </w:rPr>
        <w:t>对于本工程改线段管线，目前管线外防腐层采用黑色加强级三层PE防腐层；管道全线三层PE管道补口采用“无溶剂液体环氧涂料（干膜厚度≥400μm）+热收缩补口带（收缩后宽度≥520mm）”防腐结构；热煨弯管外涂层采用无溶剂液体环氧涂料（干膜厚度1mm）+聚丙烯胶粘带；新旧管线连接处补口采用粘弹体防腐带（厚度≥1.8mm，宽度100mm，带间搭接≥10mm）+聚丙烯外保护带（厚度1.15mm，带宽150mm，带间搭接50%-55%）防腐结构。</w:t>
      </w:r>
    </w:p>
    <w:p>
      <w:pPr>
        <w:ind w:firstLine="480"/>
        <w:rPr>
          <w:rFonts w:cs="Times New Roman"/>
          <w:highlight w:val="none"/>
        </w:rPr>
      </w:pPr>
      <w:r>
        <w:rPr>
          <w:rFonts w:hint="eastAsia" w:cs="Times New Roman"/>
          <w:highlight w:val="none"/>
        </w:rPr>
        <w:t>项目涂料</w:t>
      </w:r>
      <w:r>
        <w:rPr>
          <w:rFonts w:cs="Times New Roman"/>
          <w:highlight w:val="none"/>
        </w:rPr>
        <w:t>用量很小</w:t>
      </w:r>
      <w:r>
        <w:rPr>
          <w:rFonts w:hint="eastAsia" w:cs="Times New Roman"/>
          <w:highlight w:val="none"/>
        </w:rPr>
        <w:t>，干膜厚度约为</w:t>
      </w:r>
      <w:r>
        <w:rPr>
          <w:rFonts w:hint="eastAsia" w:cs="Times New Roman"/>
          <w:highlight w:val="none"/>
          <w:lang w:val="en-US" w:eastAsia="zh-CN"/>
        </w:rPr>
        <w:t>0.4-1</w:t>
      </w:r>
      <w:r>
        <w:rPr>
          <w:rFonts w:hint="eastAsia" w:cs="Times New Roman"/>
          <w:highlight w:val="none"/>
        </w:rPr>
        <w:t>mm，涂刷长度为37m，项目管道直径为508mm，故项目涂刷面积为</w:t>
      </w:r>
      <w:r>
        <w:rPr>
          <w:rFonts w:hint="eastAsia" w:cs="Times New Roman"/>
          <w:highlight w:val="none"/>
          <w:lang w:val="en-US" w:eastAsia="zh-CN"/>
        </w:rPr>
        <w:t>59.02</w:t>
      </w:r>
      <w:r>
        <w:rPr>
          <w:rFonts w:hint="eastAsia" w:cs="Times New Roman"/>
          <w:highlight w:val="none"/>
        </w:rPr>
        <w:t>m</w:t>
      </w:r>
      <w:r>
        <w:rPr>
          <w:rFonts w:hint="eastAsia" w:cs="Times New Roman"/>
          <w:highlight w:val="none"/>
          <w:vertAlign w:val="superscript"/>
        </w:rPr>
        <w:t>2</w:t>
      </w:r>
      <w:r>
        <w:rPr>
          <w:rFonts w:hint="eastAsia" w:cs="Times New Roman"/>
          <w:highlight w:val="none"/>
        </w:rPr>
        <w:t>，项目漆膜密度约为</w:t>
      </w:r>
      <w:r>
        <w:rPr>
          <w:rFonts w:hint="eastAsia" w:cs="Times New Roman"/>
          <w:highlight w:val="none"/>
          <w:lang w:val="en-US" w:eastAsia="zh-CN"/>
        </w:rPr>
        <w:t>1.3-1.4t</w:t>
      </w:r>
      <w:r>
        <w:rPr>
          <w:rFonts w:hint="eastAsia" w:cs="Times New Roman"/>
          <w:highlight w:val="none"/>
        </w:rPr>
        <w:t>/m</w:t>
      </w:r>
      <w:r>
        <w:rPr>
          <w:rFonts w:hint="eastAsia" w:cs="Times New Roman"/>
          <w:highlight w:val="none"/>
          <w:vertAlign w:val="superscript"/>
        </w:rPr>
        <w:t>3</w:t>
      </w:r>
      <w:r>
        <w:rPr>
          <w:rFonts w:hint="eastAsia" w:cs="Times New Roman"/>
          <w:highlight w:val="none"/>
        </w:rPr>
        <w:t>，</w:t>
      </w:r>
      <w:r>
        <w:rPr>
          <w:rFonts w:hint="eastAsia" w:cs="Times New Roman"/>
          <w:highlight w:val="none"/>
          <w:lang w:val="en-US" w:eastAsia="zh-CN"/>
        </w:rPr>
        <w:t>故漆膜重量为0.083t，无溶剂液体环氧树脂涂料</w:t>
      </w:r>
      <w:r>
        <w:rPr>
          <w:rFonts w:hint="eastAsia" w:cs="Times New Roman"/>
          <w:highlight w:val="none"/>
        </w:rPr>
        <w:t>中固化成分约</w:t>
      </w:r>
      <w:r>
        <w:rPr>
          <w:rFonts w:hint="eastAsia" w:cs="Times New Roman"/>
          <w:highlight w:val="none"/>
          <w:lang w:val="en-US" w:eastAsia="zh-CN"/>
        </w:rPr>
        <w:t>占98%，</w:t>
      </w:r>
      <w:r>
        <w:rPr>
          <w:rFonts w:hint="eastAsia" w:cs="Times New Roman"/>
          <w:highlight w:val="none"/>
        </w:rPr>
        <w:t>故项目漆料用料约为</w:t>
      </w:r>
      <w:r>
        <w:rPr>
          <w:rFonts w:hint="eastAsia" w:cs="Times New Roman"/>
          <w:highlight w:val="none"/>
          <w:lang w:val="en-US" w:eastAsia="zh-CN"/>
        </w:rPr>
        <w:t>0.085t，其密度约为1.6-2.3g/cm</w:t>
      </w:r>
      <w:r>
        <w:rPr>
          <w:rFonts w:hint="eastAsia" w:cs="Times New Roman"/>
          <w:highlight w:val="none"/>
          <w:vertAlign w:val="superscript"/>
          <w:lang w:val="en-US" w:eastAsia="zh-CN"/>
        </w:rPr>
        <w:t>3</w:t>
      </w:r>
      <w:r>
        <w:rPr>
          <w:rFonts w:hint="eastAsia" w:cs="Times New Roman"/>
          <w:highlight w:val="none"/>
        </w:rPr>
        <w:t>，</w:t>
      </w:r>
      <w:r>
        <w:rPr>
          <w:rFonts w:hint="eastAsia" w:cs="Times New Roman"/>
          <w:highlight w:val="none"/>
          <w:lang w:val="en-US" w:eastAsia="zh-CN"/>
        </w:rPr>
        <w:t>故其用量为37L，</w:t>
      </w:r>
      <w:r>
        <w:rPr>
          <w:rFonts w:hint="eastAsia" w:cs="Times New Roman"/>
          <w:highlight w:val="none"/>
        </w:rPr>
        <w:t>其挥发性有机物含量约为300g/L</w:t>
      </w:r>
      <w:r>
        <w:rPr>
          <w:rFonts w:cs="Times New Roman"/>
          <w:highlight w:val="none"/>
        </w:rPr>
        <w:t>，</w:t>
      </w:r>
      <w:r>
        <w:rPr>
          <w:rFonts w:hint="eastAsia" w:cs="Times New Roman"/>
          <w:highlight w:val="none"/>
        </w:rPr>
        <w:t>故项目露天排放的VOCs量为0.0</w:t>
      </w:r>
      <w:r>
        <w:rPr>
          <w:rFonts w:hint="eastAsia" w:cs="Times New Roman"/>
          <w:highlight w:val="none"/>
          <w:lang w:val="en-US" w:eastAsia="zh-CN"/>
        </w:rPr>
        <w:t>111</w:t>
      </w:r>
      <w:r>
        <w:rPr>
          <w:rFonts w:hint="eastAsia" w:cs="Times New Roman"/>
          <w:highlight w:val="none"/>
        </w:rPr>
        <w:t>t，项目</w:t>
      </w:r>
      <w:r>
        <w:rPr>
          <w:rFonts w:cs="Times New Roman"/>
          <w:highlight w:val="none"/>
        </w:rPr>
        <w:t>为间断式涂刷，管道处于野外区域，通风良好，产生的挥发性有机物以无组织散发后能够及时得到稀释扩散，不会对周边大气环境造成明显影响。</w:t>
      </w:r>
    </w:p>
    <w:p>
      <w:pPr>
        <w:pStyle w:val="5"/>
        <w:rPr>
          <w:rFonts w:eastAsiaTheme="minorEastAsia"/>
          <w:highlight w:val="none"/>
        </w:rPr>
      </w:pPr>
      <w:bookmarkStart w:id="8" w:name="_Toc17386409"/>
      <w:r>
        <w:rPr>
          <w:rFonts w:eastAsiaTheme="minorEastAsia"/>
          <w:highlight w:val="none"/>
        </w:rPr>
        <w:t>施工期地表水环境影响分析与评价</w:t>
      </w:r>
      <w:bookmarkEnd w:id="8"/>
    </w:p>
    <w:p>
      <w:pPr>
        <w:ind w:firstLine="480"/>
        <w:rPr>
          <w:highlight w:val="none"/>
        </w:rPr>
      </w:pPr>
      <w:bookmarkStart w:id="9" w:name="_Toc500843531"/>
      <w:r>
        <w:rPr>
          <w:rFonts w:hint="eastAsia"/>
          <w:highlight w:val="none"/>
        </w:rPr>
        <w:t>1、废水来源及影响分析</w:t>
      </w:r>
      <w:bookmarkEnd w:id="9"/>
    </w:p>
    <w:p>
      <w:pPr>
        <w:ind w:firstLine="480"/>
        <w:rPr>
          <w:rFonts w:cs="Times New Roman"/>
          <w:highlight w:val="none"/>
        </w:rPr>
      </w:pPr>
      <w:r>
        <w:rPr>
          <w:rFonts w:cs="Times New Roman"/>
          <w:highlight w:val="none"/>
        </w:rPr>
        <w:t>本工程建设不穿越河流，施工期废水主要是来自施工人员的生活污水</w:t>
      </w:r>
      <w:r>
        <w:rPr>
          <w:rFonts w:hint="eastAsia" w:cs="Times New Roman"/>
          <w:highlight w:val="none"/>
        </w:rPr>
        <w:t>、</w:t>
      </w:r>
      <w:r>
        <w:rPr>
          <w:rFonts w:cs="Times New Roman"/>
          <w:highlight w:val="none"/>
        </w:rPr>
        <w:t>清管试压排水。</w:t>
      </w:r>
    </w:p>
    <w:p>
      <w:pPr>
        <w:ind w:firstLine="480"/>
        <w:rPr>
          <w:rFonts w:cs="Times New Roman"/>
          <w:highlight w:val="none"/>
        </w:rPr>
      </w:pPr>
      <w:r>
        <w:rPr>
          <w:rFonts w:cs="Times New Roman"/>
          <w:highlight w:val="none"/>
        </w:rPr>
        <w:t>（1）生活污水</w:t>
      </w:r>
    </w:p>
    <w:p>
      <w:pPr>
        <w:ind w:firstLine="480"/>
        <w:rPr>
          <w:rFonts w:cs="Times New Roman"/>
          <w:highlight w:val="none"/>
        </w:rPr>
      </w:pPr>
      <w:r>
        <w:rPr>
          <w:rFonts w:cs="Times New Roman"/>
          <w:highlight w:val="none"/>
        </w:rPr>
        <w:t>工程的建设施工周期较短，从管线开挖到覆土回填按照</w:t>
      </w:r>
      <w:r>
        <w:rPr>
          <w:rFonts w:hint="eastAsia" w:cs="Times New Roman"/>
          <w:highlight w:val="none"/>
        </w:rPr>
        <w:t>150</w:t>
      </w:r>
      <w:r>
        <w:rPr>
          <w:rFonts w:cs="Times New Roman"/>
          <w:highlight w:val="none"/>
        </w:rPr>
        <w:t>天时间计，施工人员约有</w:t>
      </w:r>
      <w:r>
        <w:rPr>
          <w:rFonts w:hint="eastAsia" w:cs="Times New Roman"/>
          <w:highlight w:val="none"/>
        </w:rPr>
        <w:t>25</w:t>
      </w:r>
      <w:r>
        <w:rPr>
          <w:rFonts w:cs="Times New Roman"/>
          <w:highlight w:val="none"/>
        </w:rPr>
        <w:t>人。本项目沿线距离村庄较近，不在项目场地设置施工营地，施工人员食宿依托沿线城镇或村庄解决。共产生</w:t>
      </w:r>
      <w:r>
        <w:rPr>
          <w:rFonts w:hint="eastAsia" w:cs="Times New Roman"/>
          <w:highlight w:val="none"/>
        </w:rPr>
        <w:t>150</w:t>
      </w:r>
      <w:r>
        <w:rPr>
          <w:rFonts w:cs="Times New Roman"/>
          <w:highlight w:val="none"/>
        </w:rPr>
        <w:t>m</w:t>
      </w:r>
      <w:r>
        <w:rPr>
          <w:rFonts w:cs="Times New Roman"/>
          <w:highlight w:val="none"/>
          <w:vertAlign w:val="superscript"/>
        </w:rPr>
        <w:t>3</w:t>
      </w:r>
      <w:r>
        <w:rPr>
          <w:rFonts w:cs="Times New Roman"/>
          <w:highlight w:val="none"/>
        </w:rPr>
        <w:t>生活污水。由于工程线路较短，且距离村庄较近，可依托村镇现有的化粪池等处理设施进行处置。因此施工期生活污水对环境影响较小。</w:t>
      </w:r>
    </w:p>
    <w:p>
      <w:pPr>
        <w:ind w:firstLine="480"/>
        <w:rPr>
          <w:rFonts w:cs="Times New Roman"/>
          <w:highlight w:val="none"/>
        </w:rPr>
      </w:pPr>
      <w:r>
        <w:rPr>
          <w:rFonts w:cs="Times New Roman"/>
          <w:highlight w:val="none"/>
        </w:rPr>
        <w:t>（2）管道试压排水</w:t>
      </w:r>
    </w:p>
    <w:p>
      <w:pPr>
        <w:ind w:firstLine="480"/>
        <w:rPr>
          <w:rFonts w:cs="Times New Roman"/>
          <w:highlight w:val="none"/>
        </w:rPr>
      </w:pPr>
      <w:r>
        <w:rPr>
          <w:rFonts w:cs="Times New Roman"/>
          <w:highlight w:val="none"/>
        </w:rPr>
        <w:t>由于试压水质为无腐蚀性洁净水，并且管道在焊接前均需经过人工擦拭，只要施工单位严格执行规范，试压排出的水只含有少量的泥沙、焊渣等杂质，可经过沉淀后可就近排到项目</w:t>
      </w:r>
      <w:r>
        <w:rPr>
          <w:rFonts w:hint="eastAsia" w:cs="Times New Roman"/>
          <w:highlight w:val="none"/>
        </w:rPr>
        <w:t>附近</w:t>
      </w:r>
      <w:r>
        <w:rPr>
          <w:rFonts w:cs="Times New Roman"/>
          <w:highlight w:val="none"/>
        </w:rPr>
        <w:t>市政污水管网或用于区域农业灌溉</w:t>
      </w:r>
      <w:r>
        <w:rPr>
          <w:rFonts w:hint="eastAsia" w:cs="Times New Roman"/>
          <w:highlight w:val="none"/>
        </w:rPr>
        <w:t>，项目清管废水产生量约为1000m</w:t>
      </w:r>
      <w:r>
        <w:rPr>
          <w:rFonts w:hint="eastAsia" w:cs="Times New Roman"/>
          <w:highlight w:val="none"/>
          <w:vertAlign w:val="superscript"/>
        </w:rPr>
        <w:t>3</w:t>
      </w:r>
      <w:r>
        <w:rPr>
          <w:rFonts w:hint="eastAsia" w:cs="Times New Roman"/>
          <w:highlight w:val="none"/>
        </w:rPr>
        <w:t>，其污染物产生浓度分别为SS：20mg/L、COD：50mg/L、BOD</w:t>
      </w:r>
      <w:r>
        <w:rPr>
          <w:rFonts w:hint="eastAsia" w:cs="Times New Roman"/>
          <w:highlight w:val="none"/>
          <w:vertAlign w:val="subscript"/>
        </w:rPr>
        <w:t>5</w:t>
      </w:r>
      <w:r>
        <w:rPr>
          <w:rFonts w:hint="eastAsia" w:cs="Times New Roman"/>
          <w:highlight w:val="none"/>
        </w:rPr>
        <w:t>：20mg/L，其产生量分别为0.02t、0.05t、0.02t经沉淀处理后用于农田浇灌及抑尘洒水，经沉淀处理后其排放浓度分别为SS：15mg/L、COD：50mg/L、BOD</w:t>
      </w:r>
      <w:r>
        <w:rPr>
          <w:rFonts w:hint="eastAsia" w:cs="Times New Roman"/>
          <w:highlight w:val="none"/>
          <w:vertAlign w:val="subscript"/>
        </w:rPr>
        <w:t>5</w:t>
      </w:r>
      <w:r>
        <w:rPr>
          <w:rFonts w:hint="eastAsia" w:cs="Times New Roman"/>
          <w:highlight w:val="none"/>
        </w:rPr>
        <w:t>：20mg/L，其排放量为0.015t、0.05t、0.02t，其排放符合《再生水水质标准》（SL368-2006）表4.0.3中用于农业的水质标准（SS：30mg/L、COD：90mg/L、BOD</w:t>
      </w:r>
      <w:r>
        <w:rPr>
          <w:rFonts w:hint="eastAsia" w:cs="Times New Roman"/>
          <w:highlight w:val="none"/>
          <w:vertAlign w:val="subscript"/>
        </w:rPr>
        <w:t>5</w:t>
      </w:r>
      <w:r>
        <w:rPr>
          <w:rFonts w:hint="eastAsia" w:cs="Times New Roman"/>
          <w:highlight w:val="none"/>
        </w:rPr>
        <w:t>：35mg/L）。</w:t>
      </w:r>
    </w:p>
    <w:p>
      <w:pPr>
        <w:ind w:firstLine="480"/>
        <w:rPr>
          <w:rFonts w:cs="Times New Roman"/>
          <w:highlight w:val="none"/>
        </w:rPr>
      </w:pPr>
      <w:r>
        <w:rPr>
          <w:rFonts w:hint="eastAsia" w:cs="Times New Roman"/>
          <w:highlight w:val="none"/>
        </w:rPr>
        <w:t>项目试管废水排放口位于西安村GX08-GX09号桩公路路边沟</w:t>
      </w:r>
      <w:r>
        <w:rPr>
          <w:rFonts w:cs="Times New Roman"/>
          <w:highlight w:val="none"/>
        </w:rPr>
        <w:t>。</w:t>
      </w:r>
    </w:p>
    <w:p>
      <w:pPr>
        <w:ind w:firstLine="480"/>
        <w:rPr>
          <w:highlight w:val="none"/>
        </w:rPr>
      </w:pPr>
      <w:r>
        <w:rPr>
          <w:rFonts w:hint="eastAsia"/>
          <w:highlight w:val="none"/>
        </w:rPr>
        <w:t>2、管道敷设对地表水环境影响分析</w:t>
      </w:r>
    </w:p>
    <w:p>
      <w:pPr>
        <w:ind w:firstLine="480"/>
        <w:rPr>
          <w:rFonts w:cs="Times New Roman"/>
          <w:highlight w:val="none"/>
        </w:rPr>
      </w:pPr>
      <w:r>
        <w:rPr>
          <w:rFonts w:cs="Times New Roman"/>
          <w:highlight w:val="none"/>
        </w:rPr>
        <w:t>（l）管道开挖过程中，挖出的土石如未能及时回填，遇雨水冲刷进入附近水体，影响水域水质。</w:t>
      </w:r>
    </w:p>
    <w:p>
      <w:pPr>
        <w:ind w:firstLine="480"/>
        <w:rPr>
          <w:rFonts w:cs="Times New Roman"/>
          <w:highlight w:val="none"/>
        </w:rPr>
      </w:pPr>
      <w:r>
        <w:rPr>
          <w:rFonts w:cs="Times New Roman"/>
          <w:highlight w:val="none"/>
        </w:rPr>
        <w:t>（2）施工物料如堆放管理不严，受雨水冲刷进入附近水体，对水域造成影响。</w:t>
      </w:r>
    </w:p>
    <w:p>
      <w:pPr>
        <w:ind w:firstLine="480"/>
        <w:rPr>
          <w:rFonts w:cs="Times New Roman"/>
          <w:highlight w:val="none"/>
        </w:rPr>
      </w:pPr>
      <w:r>
        <w:rPr>
          <w:rFonts w:cs="Times New Roman"/>
          <w:highlight w:val="none"/>
        </w:rPr>
        <w:t>（3）施工弃渣和施工人员的生活垃圾如不妥善处理，随意堆放，受雨水冲刷进入附近水体，将对其水质造成影响。</w:t>
      </w:r>
    </w:p>
    <w:p>
      <w:pPr>
        <w:ind w:firstLine="480"/>
        <w:rPr>
          <w:rFonts w:cs="Times New Roman"/>
          <w:highlight w:val="none"/>
        </w:rPr>
      </w:pPr>
      <w:r>
        <w:rPr>
          <w:rFonts w:cs="Times New Roman"/>
          <w:highlight w:val="none"/>
        </w:rPr>
        <w:t>通过以上分析，通过对施工弃渣、施工人员生活垃圾妥善处置，对施工材料堆放严格管理，及时填埋开挖土石，工程施工过程中造成的水环境影响程度可以接受。</w:t>
      </w:r>
    </w:p>
    <w:p>
      <w:pPr>
        <w:pStyle w:val="5"/>
        <w:rPr>
          <w:rFonts w:eastAsiaTheme="minorEastAsia"/>
          <w:highlight w:val="none"/>
        </w:rPr>
      </w:pPr>
      <w:bookmarkStart w:id="10" w:name="_Toc17386410"/>
      <w:r>
        <w:rPr>
          <w:rFonts w:eastAsiaTheme="minorEastAsia"/>
          <w:highlight w:val="none"/>
        </w:rPr>
        <w:t>施工期地下水环境影响分析与评价</w:t>
      </w:r>
      <w:bookmarkEnd w:id="10"/>
    </w:p>
    <w:p>
      <w:pPr>
        <w:ind w:firstLine="480"/>
        <w:rPr>
          <w:rFonts w:cs="Times New Roman"/>
          <w:highlight w:val="none"/>
        </w:rPr>
      </w:pPr>
      <w:r>
        <w:rPr>
          <w:rFonts w:cs="Times New Roman"/>
          <w:highlight w:val="none"/>
        </w:rPr>
        <w:t>施工期对地下水环境的影响主要表现为施工活动对地下水水质的影响。</w:t>
      </w:r>
    </w:p>
    <w:p>
      <w:pPr>
        <w:ind w:firstLine="480"/>
        <w:rPr>
          <w:rFonts w:cs="Times New Roman"/>
          <w:highlight w:val="none"/>
        </w:rPr>
      </w:pPr>
      <w:r>
        <w:rPr>
          <w:rFonts w:cs="Times New Roman"/>
          <w:highlight w:val="none"/>
        </w:rPr>
        <w:t>（1）管沟开挖对地下水影响</w:t>
      </w:r>
    </w:p>
    <w:p>
      <w:pPr>
        <w:ind w:firstLine="480"/>
        <w:rPr>
          <w:rFonts w:cs="Times New Roman"/>
          <w:highlight w:val="cyan"/>
        </w:rPr>
      </w:pPr>
      <w:r>
        <w:rPr>
          <w:rFonts w:cs="Times New Roman"/>
          <w:highlight w:val="cyan"/>
        </w:rPr>
        <w:t>本工程管道采用埋地敷设方式，管道埋设到1.</w:t>
      </w:r>
      <w:r>
        <w:rPr>
          <w:rFonts w:hint="eastAsia" w:cs="Times New Roman"/>
          <w:highlight w:val="cyan"/>
        </w:rPr>
        <w:t>5</w:t>
      </w:r>
      <w:r>
        <w:rPr>
          <w:rFonts w:cs="Times New Roman"/>
          <w:highlight w:val="cyan"/>
        </w:rPr>
        <w:t>m以下。管道全线地势平坦，通过对管道沿线的地质、水文地质条件进行综合分析，管道沿线所经地区潜水主要为第四系潜水，地下水埋深5m以下，本项目管沟开挖深度小于</w:t>
      </w:r>
      <w:r>
        <w:rPr>
          <w:rFonts w:hint="eastAsia" w:cs="Times New Roman"/>
          <w:highlight w:val="cyan"/>
        </w:rPr>
        <w:t>4</w:t>
      </w:r>
      <w:r>
        <w:rPr>
          <w:rFonts w:cs="Times New Roman"/>
          <w:highlight w:val="cyan"/>
        </w:rPr>
        <w:t>m，管道敷设时，施工活动不会对附近地下水流向产生影响。</w:t>
      </w:r>
    </w:p>
    <w:p>
      <w:pPr>
        <w:ind w:firstLine="480"/>
        <w:rPr>
          <w:rFonts w:cs="Times New Roman"/>
          <w:highlight w:val="cyan"/>
        </w:rPr>
      </w:pPr>
      <w:r>
        <w:rPr>
          <w:rFonts w:cs="Times New Roman"/>
          <w:highlight w:val="cyan"/>
        </w:rPr>
        <w:t>（2）施工活动对地下水的影响</w:t>
      </w:r>
    </w:p>
    <w:p>
      <w:pPr>
        <w:ind w:firstLine="480"/>
        <w:rPr>
          <w:rFonts w:cs="Times New Roman"/>
          <w:highlight w:val="cyan"/>
        </w:rPr>
      </w:pPr>
      <w:r>
        <w:rPr>
          <w:rFonts w:cs="Times New Roman"/>
          <w:highlight w:val="cyan"/>
        </w:rPr>
        <w:t>管道经过地区对地下水水质的影响，主要发生在施工期，潜在的污染源有施工过程中的辅料、废料、施工生活污水和生产废水。</w:t>
      </w:r>
    </w:p>
    <w:p>
      <w:pPr>
        <w:ind w:firstLine="480"/>
        <w:rPr>
          <w:rFonts w:cs="Times New Roman"/>
          <w:highlight w:val="cyan"/>
        </w:rPr>
      </w:pPr>
      <w:r>
        <w:rPr>
          <w:rFonts w:hint="eastAsia" w:ascii="宋体" w:hAnsi="宋体" w:eastAsia="宋体" w:cs="宋体"/>
          <w:highlight w:val="cyan"/>
        </w:rPr>
        <w:t>①</w:t>
      </w:r>
      <w:r>
        <w:rPr>
          <w:rFonts w:cs="Times New Roman"/>
          <w:highlight w:val="cyan"/>
        </w:rPr>
        <w:t>施工生活污水</w:t>
      </w:r>
    </w:p>
    <w:p>
      <w:pPr>
        <w:ind w:firstLine="480"/>
        <w:rPr>
          <w:rFonts w:cs="Times New Roman"/>
          <w:highlight w:val="cyan"/>
        </w:rPr>
      </w:pPr>
      <w:r>
        <w:rPr>
          <w:rFonts w:cs="Times New Roman"/>
          <w:highlight w:val="cyan"/>
        </w:rPr>
        <w:t>施工过程中不设营地，施工队伍的吃住一般依托当地的旅馆和饭店，或租用当地民房，局部排放量很小，生活污水的主要污染物为COD</w:t>
      </w:r>
      <w:r>
        <w:rPr>
          <w:rFonts w:hint="eastAsia" w:cs="Times New Roman"/>
          <w:highlight w:val="cyan"/>
        </w:rPr>
        <w:t>cr</w:t>
      </w:r>
      <w:r>
        <w:rPr>
          <w:rFonts w:cs="Times New Roman"/>
          <w:highlight w:val="cyan"/>
        </w:rPr>
        <w:t>、BOD</w:t>
      </w:r>
      <w:r>
        <w:rPr>
          <w:rFonts w:cs="Times New Roman"/>
          <w:highlight w:val="cyan"/>
          <w:vertAlign w:val="subscript"/>
        </w:rPr>
        <w:t>5</w:t>
      </w:r>
      <w:r>
        <w:rPr>
          <w:rFonts w:cs="Times New Roman"/>
          <w:highlight w:val="cyan"/>
        </w:rPr>
        <w:t>、SS、氨氮及油类等，量很小，利用现有设施进行处理，同时又遵守相应的施工环保措施，因此，对地下水环境影响很小。</w:t>
      </w:r>
    </w:p>
    <w:p>
      <w:pPr>
        <w:ind w:firstLine="480"/>
        <w:rPr>
          <w:rFonts w:cs="Times New Roman"/>
          <w:highlight w:val="cyan"/>
        </w:rPr>
      </w:pPr>
      <w:r>
        <w:rPr>
          <w:rFonts w:hint="eastAsia" w:ascii="宋体" w:hAnsi="宋体" w:eastAsia="宋体" w:cs="宋体"/>
          <w:highlight w:val="cyan"/>
        </w:rPr>
        <w:t>②</w:t>
      </w:r>
      <w:r>
        <w:rPr>
          <w:rFonts w:cs="Times New Roman"/>
          <w:highlight w:val="cyan"/>
        </w:rPr>
        <w:t>施工辅料、废料</w:t>
      </w:r>
    </w:p>
    <w:p>
      <w:pPr>
        <w:ind w:firstLine="480"/>
        <w:rPr>
          <w:rFonts w:cs="Times New Roman"/>
          <w:highlight w:val="cyan"/>
        </w:rPr>
      </w:pPr>
      <w:r>
        <w:rPr>
          <w:rFonts w:cs="Times New Roman"/>
          <w:highlight w:val="cyan"/>
        </w:rPr>
        <w:t>在施工过程中的辅料、废料等在降水的淋滤作用下产生的浸出液进入地下含水层，将对浅层地下水造成不同程度的影响，其影响程度决定于下渗量及其非饱和地带的厚度、岩性和对污染物的阻滞、吸附分解等自然净化能力。从管道沿线经过地区的表层土质来看，均有一定的自然净化有力，对浅层地下水影响很小。深部层压水由于粘土隔水层的存在，孔隙水仍不易受到污染。</w:t>
      </w:r>
    </w:p>
    <w:p>
      <w:pPr>
        <w:pStyle w:val="5"/>
        <w:rPr>
          <w:rFonts w:eastAsiaTheme="minorEastAsia"/>
          <w:highlight w:val="cyan"/>
        </w:rPr>
      </w:pPr>
      <w:bookmarkStart w:id="11" w:name="_Toc17386411"/>
      <w:r>
        <w:rPr>
          <w:rFonts w:eastAsiaTheme="minorEastAsia"/>
          <w:highlight w:val="cyan"/>
        </w:rPr>
        <w:t>施工期声环境影响分析与评价</w:t>
      </w:r>
      <w:bookmarkEnd w:id="11"/>
    </w:p>
    <w:p>
      <w:pPr>
        <w:ind w:firstLine="480"/>
        <w:rPr>
          <w:highlight w:val="cyan"/>
        </w:rPr>
      </w:pPr>
      <w:bookmarkStart w:id="12" w:name="_Toc500843547"/>
      <w:r>
        <w:rPr>
          <w:rFonts w:hint="eastAsia"/>
          <w:highlight w:val="cyan"/>
        </w:rPr>
        <w:t>1、项目噪声源</w:t>
      </w:r>
      <w:bookmarkEnd w:id="12"/>
    </w:p>
    <w:p>
      <w:pPr>
        <w:ind w:firstLine="480"/>
        <w:rPr>
          <w:rFonts w:cs="Times New Roman"/>
          <w:highlight w:val="cyan"/>
        </w:rPr>
      </w:pPr>
      <w:bookmarkStart w:id="13" w:name="_Toc500843548"/>
      <w:r>
        <w:rPr>
          <w:rFonts w:cs="Times New Roman"/>
          <w:highlight w:val="cyan"/>
        </w:rPr>
        <w:t>目前我国管道建设施工中使用的机械、设备和运输车辆主要有：</w:t>
      </w:r>
      <w:r>
        <w:rPr>
          <w:rFonts w:hint="eastAsia" w:cs="Times New Roman"/>
          <w:highlight w:val="cyan"/>
        </w:rPr>
        <w:t>挖土机、推土机、打桩机、混凝土搅拌机、震捣棒、电锯、吊车、升降机、运土汽车</w:t>
      </w:r>
      <w:r>
        <w:rPr>
          <w:rFonts w:cs="Times New Roman"/>
          <w:highlight w:val="cyan"/>
        </w:rPr>
        <w:t>等。根据管道施工现场测试值，以上各种施工机械及车辆的噪声情况参见表4.1-3。</w:t>
      </w:r>
    </w:p>
    <w:p>
      <w:pPr>
        <w:spacing w:beforeLines="30" w:afterLines="30" w:line="240" w:lineRule="auto"/>
        <w:ind w:firstLine="0" w:firstLineChars="0"/>
        <w:jc w:val="center"/>
        <w:rPr>
          <w:rFonts w:cs="Times New Roman"/>
          <w:b/>
          <w:szCs w:val="20"/>
          <w:highlight w:val="cyan"/>
        </w:rPr>
      </w:pPr>
      <w:r>
        <w:rPr>
          <w:rFonts w:cs="Times New Roman"/>
          <w:b/>
          <w:szCs w:val="20"/>
          <w:highlight w:val="cyan"/>
        </w:rPr>
        <w:t>表4.1-3  管道工程施工机械噪声</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42"/>
        <w:gridCol w:w="1816"/>
        <w:gridCol w:w="992"/>
        <w:gridCol w:w="1641"/>
        <w:gridCol w:w="16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1"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序号</w:t>
            </w:r>
          </w:p>
        </w:tc>
        <w:tc>
          <w:tcPr>
            <w:tcW w:w="1642"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噪声源</w:t>
            </w:r>
          </w:p>
        </w:tc>
        <w:tc>
          <w:tcPr>
            <w:tcW w:w="1816"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噪声强度dB</w:t>
            </w:r>
            <w:r>
              <w:rPr>
                <w:rFonts w:hint="eastAsia" w:cs="Times New Roman"/>
                <w:sz w:val="21"/>
                <w:szCs w:val="21"/>
                <w:highlight w:val="cyan"/>
              </w:rPr>
              <w:t>（</w:t>
            </w:r>
            <w:r>
              <w:rPr>
                <w:rFonts w:cs="Times New Roman"/>
                <w:sz w:val="21"/>
                <w:szCs w:val="21"/>
                <w:highlight w:val="cyan"/>
              </w:rPr>
              <w:t>A</w:t>
            </w:r>
            <w:r>
              <w:rPr>
                <w:rFonts w:hint="eastAsia" w:cs="Times New Roman"/>
                <w:sz w:val="21"/>
                <w:szCs w:val="21"/>
                <w:highlight w:val="cyan"/>
              </w:rPr>
              <w:t>）</w:t>
            </w:r>
          </w:p>
        </w:tc>
        <w:tc>
          <w:tcPr>
            <w:tcW w:w="992"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序号</w:t>
            </w:r>
          </w:p>
        </w:tc>
        <w:tc>
          <w:tcPr>
            <w:tcW w:w="1641"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噪声源</w:t>
            </w:r>
          </w:p>
        </w:tc>
        <w:tc>
          <w:tcPr>
            <w:tcW w:w="1670"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噪声强度dB</w:t>
            </w:r>
            <w:r>
              <w:rPr>
                <w:rFonts w:hint="eastAsia" w:cs="Times New Roman"/>
                <w:sz w:val="21"/>
                <w:szCs w:val="21"/>
                <w:highlight w:val="cyan"/>
              </w:rPr>
              <w:t>（</w:t>
            </w:r>
            <w:r>
              <w:rPr>
                <w:rFonts w:cs="Times New Roman"/>
                <w:sz w:val="21"/>
                <w:szCs w:val="21"/>
                <w:highlight w:val="cyan"/>
              </w:rPr>
              <w:t>A</w:t>
            </w:r>
            <w:r>
              <w:rPr>
                <w:rFonts w:hint="eastAsia" w:cs="Times New Roman"/>
                <w:sz w:val="21"/>
                <w:szCs w:val="21"/>
                <w:highlight w:val="cy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1"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1</w:t>
            </w:r>
          </w:p>
        </w:tc>
        <w:tc>
          <w:tcPr>
            <w:tcW w:w="1642"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推土机</w:t>
            </w:r>
          </w:p>
        </w:tc>
        <w:tc>
          <w:tcPr>
            <w:tcW w:w="1816"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78—96</w:t>
            </w:r>
          </w:p>
        </w:tc>
        <w:tc>
          <w:tcPr>
            <w:tcW w:w="992" w:type="dxa"/>
            <w:tcBorders>
              <w:tl2br w:val="nil"/>
              <w:tr2bl w:val="nil"/>
            </w:tcBorders>
            <w:vAlign w:val="center"/>
          </w:tcPr>
          <w:p>
            <w:pPr>
              <w:spacing w:line="240" w:lineRule="auto"/>
              <w:ind w:firstLine="0" w:firstLineChars="0"/>
              <w:jc w:val="center"/>
              <w:rPr>
                <w:rFonts w:cs="Times New Roman"/>
                <w:sz w:val="21"/>
                <w:szCs w:val="21"/>
                <w:highlight w:val="cyan"/>
              </w:rPr>
            </w:pPr>
            <w:r>
              <w:rPr>
                <w:rFonts w:hint="eastAsia" w:cs="Times New Roman"/>
                <w:sz w:val="21"/>
                <w:szCs w:val="21"/>
                <w:highlight w:val="cyan"/>
              </w:rPr>
              <w:t>5</w:t>
            </w:r>
          </w:p>
        </w:tc>
        <w:tc>
          <w:tcPr>
            <w:tcW w:w="1641"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挖土机</w:t>
            </w:r>
          </w:p>
        </w:tc>
        <w:tc>
          <w:tcPr>
            <w:tcW w:w="1670"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80—93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1"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2</w:t>
            </w:r>
          </w:p>
        </w:tc>
        <w:tc>
          <w:tcPr>
            <w:tcW w:w="1642"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搅拌机</w:t>
            </w:r>
          </w:p>
        </w:tc>
        <w:tc>
          <w:tcPr>
            <w:tcW w:w="1816"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75—88</w:t>
            </w:r>
          </w:p>
        </w:tc>
        <w:tc>
          <w:tcPr>
            <w:tcW w:w="992" w:type="dxa"/>
            <w:tcBorders>
              <w:tl2br w:val="nil"/>
              <w:tr2bl w:val="nil"/>
            </w:tcBorders>
            <w:vAlign w:val="center"/>
          </w:tcPr>
          <w:p>
            <w:pPr>
              <w:spacing w:line="240" w:lineRule="auto"/>
              <w:ind w:firstLine="0" w:firstLineChars="0"/>
              <w:jc w:val="center"/>
              <w:rPr>
                <w:rFonts w:cs="Times New Roman"/>
                <w:sz w:val="21"/>
                <w:szCs w:val="21"/>
                <w:highlight w:val="cyan"/>
              </w:rPr>
            </w:pPr>
            <w:r>
              <w:rPr>
                <w:rFonts w:hint="eastAsia" w:cs="Times New Roman"/>
                <w:sz w:val="21"/>
                <w:szCs w:val="21"/>
                <w:highlight w:val="cyan"/>
              </w:rPr>
              <w:t>6</w:t>
            </w:r>
          </w:p>
        </w:tc>
        <w:tc>
          <w:tcPr>
            <w:tcW w:w="1641"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运土卡车</w:t>
            </w:r>
          </w:p>
        </w:tc>
        <w:tc>
          <w:tcPr>
            <w:tcW w:w="1670"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85—94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1" w:type="dxa"/>
            <w:tcBorders>
              <w:tl2br w:val="nil"/>
              <w:tr2bl w:val="nil"/>
            </w:tcBorders>
            <w:vAlign w:val="center"/>
          </w:tcPr>
          <w:p>
            <w:pPr>
              <w:spacing w:line="240" w:lineRule="auto"/>
              <w:ind w:firstLine="0" w:firstLineChars="0"/>
              <w:jc w:val="center"/>
              <w:rPr>
                <w:rFonts w:cs="Times New Roman"/>
                <w:sz w:val="21"/>
                <w:szCs w:val="21"/>
                <w:highlight w:val="cyan"/>
              </w:rPr>
            </w:pPr>
            <w:r>
              <w:rPr>
                <w:rFonts w:cs="Times New Roman"/>
                <w:sz w:val="21"/>
                <w:szCs w:val="21"/>
                <w:highlight w:val="cyan"/>
              </w:rPr>
              <w:t>3</w:t>
            </w:r>
          </w:p>
        </w:tc>
        <w:tc>
          <w:tcPr>
            <w:tcW w:w="1642"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气锺、风钻</w:t>
            </w:r>
          </w:p>
        </w:tc>
        <w:tc>
          <w:tcPr>
            <w:tcW w:w="1816"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82—98</w:t>
            </w:r>
          </w:p>
        </w:tc>
        <w:tc>
          <w:tcPr>
            <w:tcW w:w="992" w:type="dxa"/>
            <w:tcBorders>
              <w:tl2br w:val="nil"/>
              <w:tr2bl w:val="nil"/>
            </w:tcBorders>
            <w:vAlign w:val="center"/>
          </w:tcPr>
          <w:p>
            <w:pPr>
              <w:spacing w:line="240" w:lineRule="auto"/>
              <w:ind w:firstLine="0" w:firstLineChars="0"/>
              <w:jc w:val="center"/>
              <w:rPr>
                <w:rFonts w:cs="Times New Roman"/>
                <w:sz w:val="21"/>
                <w:szCs w:val="21"/>
                <w:highlight w:val="cyan"/>
              </w:rPr>
            </w:pPr>
            <w:r>
              <w:rPr>
                <w:rFonts w:hint="eastAsia" w:cs="Times New Roman"/>
                <w:sz w:val="21"/>
                <w:szCs w:val="21"/>
                <w:highlight w:val="cyan"/>
              </w:rPr>
              <w:t>7</w:t>
            </w:r>
          </w:p>
        </w:tc>
        <w:tc>
          <w:tcPr>
            <w:tcW w:w="1641"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空气压缩机</w:t>
            </w:r>
          </w:p>
        </w:tc>
        <w:tc>
          <w:tcPr>
            <w:tcW w:w="1670"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75—88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1"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4</w:t>
            </w:r>
          </w:p>
        </w:tc>
        <w:tc>
          <w:tcPr>
            <w:tcW w:w="1642"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混凝土破碎机</w:t>
            </w:r>
          </w:p>
        </w:tc>
        <w:tc>
          <w:tcPr>
            <w:tcW w:w="1816"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85</w:t>
            </w:r>
          </w:p>
        </w:tc>
        <w:tc>
          <w:tcPr>
            <w:tcW w:w="992"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hint="eastAsia" w:cs="Times New Roman"/>
                <w:kern w:val="10"/>
                <w:sz w:val="21"/>
                <w:szCs w:val="21"/>
                <w:highlight w:val="cyan"/>
              </w:rPr>
              <w:t>8</w:t>
            </w:r>
          </w:p>
        </w:tc>
        <w:tc>
          <w:tcPr>
            <w:tcW w:w="1641"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钻机</w:t>
            </w:r>
          </w:p>
        </w:tc>
        <w:tc>
          <w:tcPr>
            <w:tcW w:w="1670" w:type="dxa"/>
            <w:tcBorders>
              <w:tl2br w:val="nil"/>
              <w:tr2bl w:val="nil"/>
            </w:tcBorders>
            <w:vAlign w:val="center"/>
          </w:tcPr>
          <w:p>
            <w:pPr>
              <w:spacing w:line="240" w:lineRule="auto"/>
              <w:ind w:firstLine="0" w:firstLineChars="0"/>
              <w:jc w:val="center"/>
              <w:rPr>
                <w:rFonts w:cs="Times New Roman"/>
                <w:kern w:val="10"/>
                <w:sz w:val="21"/>
                <w:szCs w:val="21"/>
                <w:highlight w:val="cyan"/>
              </w:rPr>
            </w:pPr>
            <w:r>
              <w:rPr>
                <w:rFonts w:cs="Times New Roman"/>
                <w:kern w:val="10"/>
                <w:sz w:val="21"/>
                <w:szCs w:val="21"/>
                <w:highlight w:val="cyan"/>
              </w:rPr>
              <w:t>87</w:t>
            </w:r>
          </w:p>
        </w:tc>
      </w:tr>
    </w:tbl>
    <w:p>
      <w:pPr>
        <w:spacing w:line="240" w:lineRule="auto"/>
        <w:ind w:firstLine="420"/>
        <w:textAlignment w:val="baseline"/>
        <w:rPr>
          <w:rFonts w:cs="Times New Roman"/>
          <w:sz w:val="21"/>
          <w:szCs w:val="24"/>
          <w:highlight w:val="cyan"/>
        </w:rPr>
      </w:pPr>
    </w:p>
    <w:bookmarkEnd w:id="13"/>
    <w:p>
      <w:pPr>
        <w:ind w:firstLine="480"/>
        <w:rPr>
          <w:highlight w:val="cyan"/>
        </w:rPr>
      </w:pPr>
      <w:r>
        <w:rPr>
          <w:rFonts w:hint="eastAsia"/>
          <w:highlight w:val="cyan"/>
        </w:rPr>
        <w:t>2、施工设备噪声影响</w:t>
      </w:r>
    </w:p>
    <w:p>
      <w:pPr>
        <w:ind w:firstLine="480"/>
        <w:rPr>
          <w:rFonts w:cs="Times New Roman"/>
          <w:highlight w:val="cyan"/>
        </w:rPr>
      </w:pPr>
      <w:r>
        <w:rPr>
          <w:rFonts w:cs="Times New Roman"/>
          <w:highlight w:val="cyan"/>
        </w:rPr>
        <w:t xml:space="preserve">管线的施工虽然呈线状，但在管道的起重、装卸、运输以及路面的破碎或切割基本上逐点进行的，其施工噪声源可近似作为点声源处理，根据点声源噪声衰减模式，可估算其施工期间离噪声源不同距离处的噪声值，预测模式如下： </w:t>
      </w:r>
    </w:p>
    <w:p>
      <w:pPr>
        <w:ind w:firstLineChars="0"/>
        <w:jc w:val="center"/>
        <w:rPr>
          <w:rFonts w:cs="Times New Roman"/>
          <w:sz w:val="21"/>
          <w:szCs w:val="24"/>
          <w:highlight w:val="cyan"/>
        </w:rPr>
      </w:pPr>
      <w:r>
        <w:rPr>
          <w:rFonts w:cs="Times New Roman"/>
          <w:sz w:val="21"/>
          <w:szCs w:val="24"/>
          <w:highlight w:val="cyan"/>
        </w:rPr>
        <w:object>
          <v:shape id="_x0000_i1025" o:spt="75" type="#_x0000_t75" style="height:34.5pt;width:84.75pt;" o:ole="t" filled="f" o:preferrelative="t" stroked="f" coordsize="21600,21600">
            <v:path/>
            <v:fill on="f" focussize="0,0"/>
            <v:stroke on="f" joinstyle="miter"/>
            <v:imagedata r:id="rId5" o:title=""/>
            <o:lock v:ext="edit" aspectratio="t"/>
            <w10:wrap type="none"/>
            <w10:anchorlock/>
          </v:shape>
          <o:OLEObject Type="Embed" ProgID="Equations" ShapeID="_x0000_i1025" DrawAspect="Content" ObjectID="_1468075725" r:id="rId4">
            <o:LockedField>false</o:LockedField>
          </o:OLEObject>
        </w:object>
      </w:r>
    </w:p>
    <w:p>
      <w:pPr>
        <w:ind w:firstLine="480"/>
        <w:rPr>
          <w:rFonts w:cs="Times New Roman"/>
          <w:highlight w:val="cyan"/>
        </w:rPr>
      </w:pPr>
      <w:r>
        <w:rPr>
          <w:rFonts w:cs="Times New Roman"/>
          <w:highlight w:val="cyan"/>
        </w:rPr>
        <w:t>式中：r</w:t>
      </w:r>
      <w:r>
        <w:rPr>
          <w:rFonts w:cs="Times New Roman"/>
          <w:highlight w:val="cyan"/>
          <w:vertAlign w:val="subscript"/>
        </w:rPr>
        <w:t>1</w:t>
      </w:r>
      <w:r>
        <w:rPr>
          <w:rFonts w:cs="Times New Roman"/>
          <w:highlight w:val="cyan"/>
        </w:rPr>
        <w:t>、r</w:t>
      </w:r>
      <w:r>
        <w:rPr>
          <w:rFonts w:cs="Times New Roman"/>
          <w:highlight w:val="cyan"/>
          <w:vertAlign w:val="subscript"/>
        </w:rPr>
        <w:t>2</w:t>
      </w:r>
      <w:r>
        <w:rPr>
          <w:rFonts w:cs="Times New Roman"/>
          <w:highlight w:val="cyan"/>
        </w:rPr>
        <w:t xml:space="preserve"> ——距声源的距离</w:t>
      </w:r>
      <w:r>
        <w:rPr>
          <w:rFonts w:hint="eastAsia" w:cs="Times New Roman"/>
          <w:highlight w:val="cyan"/>
        </w:rPr>
        <w:t>（</w:t>
      </w:r>
      <w:r>
        <w:rPr>
          <w:rFonts w:cs="Times New Roman"/>
          <w:highlight w:val="cyan"/>
        </w:rPr>
        <w:t>m</w:t>
      </w:r>
      <w:r>
        <w:rPr>
          <w:rFonts w:hint="eastAsia" w:cs="Times New Roman"/>
          <w:highlight w:val="cyan"/>
        </w:rPr>
        <w:t>）</w:t>
      </w:r>
      <w:r>
        <w:rPr>
          <w:rFonts w:cs="Times New Roman"/>
          <w:highlight w:val="cyan"/>
        </w:rPr>
        <w:t>；</w:t>
      </w:r>
    </w:p>
    <w:p>
      <w:pPr>
        <w:ind w:firstLine="480"/>
        <w:rPr>
          <w:rFonts w:cs="Times New Roman"/>
          <w:highlight w:val="cyan"/>
        </w:rPr>
      </w:pPr>
      <w:r>
        <w:rPr>
          <w:rFonts w:cs="Times New Roman"/>
          <w:highlight w:val="cyan"/>
        </w:rPr>
        <w:t>L</w:t>
      </w:r>
      <w:r>
        <w:rPr>
          <w:rFonts w:cs="Times New Roman"/>
          <w:highlight w:val="cyan"/>
          <w:vertAlign w:val="subscript"/>
        </w:rPr>
        <w:t>1</w:t>
      </w:r>
      <w:r>
        <w:rPr>
          <w:rFonts w:cs="Times New Roman"/>
          <w:highlight w:val="cyan"/>
        </w:rPr>
        <w:t>、L</w:t>
      </w:r>
      <w:r>
        <w:rPr>
          <w:rFonts w:cs="Times New Roman"/>
          <w:highlight w:val="cyan"/>
          <w:vertAlign w:val="subscript"/>
        </w:rPr>
        <w:t>2</w:t>
      </w:r>
      <w:r>
        <w:rPr>
          <w:rFonts w:cs="Times New Roman"/>
          <w:highlight w:val="cyan"/>
        </w:rPr>
        <w:t xml:space="preserve"> ——声源相距r</w:t>
      </w:r>
      <w:r>
        <w:rPr>
          <w:rFonts w:cs="Times New Roman"/>
          <w:highlight w:val="cyan"/>
          <w:vertAlign w:val="subscript"/>
        </w:rPr>
        <w:t>1</w:t>
      </w:r>
      <w:r>
        <w:rPr>
          <w:rFonts w:cs="Times New Roman"/>
          <w:highlight w:val="cyan"/>
        </w:rPr>
        <w:t>、r</w:t>
      </w:r>
      <w:r>
        <w:rPr>
          <w:rFonts w:cs="Times New Roman"/>
          <w:highlight w:val="cyan"/>
          <w:vertAlign w:val="subscript"/>
        </w:rPr>
        <w:t>2</w:t>
      </w:r>
      <w:r>
        <w:rPr>
          <w:rFonts w:cs="Times New Roman"/>
          <w:highlight w:val="cyan"/>
        </w:rPr>
        <w:t>处的噪声声级dB</w:t>
      </w:r>
      <w:r>
        <w:rPr>
          <w:rFonts w:hint="eastAsia" w:cs="Times New Roman"/>
          <w:highlight w:val="cyan"/>
        </w:rPr>
        <w:t>（</w:t>
      </w:r>
      <w:r>
        <w:rPr>
          <w:rFonts w:cs="Times New Roman"/>
          <w:highlight w:val="cyan"/>
        </w:rPr>
        <w:t>A</w:t>
      </w:r>
      <w:r>
        <w:rPr>
          <w:rFonts w:hint="eastAsia" w:cs="Times New Roman"/>
          <w:highlight w:val="cyan"/>
        </w:rPr>
        <w:t>）</w:t>
      </w:r>
      <w:r>
        <w:rPr>
          <w:rFonts w:cs="Times New Roman"/>
          <w:highlight w:val="cyan"/>
        </w:rPr>
        <w:t>；</w:t>
      </w:r>
    </w:p>
    <w:p>
      <w:pPr>
        <w:ind w:firstLine="480"/>
        <w:rPr>
          <w:rFonts w:cs="Times New Roman"/>
          <w:highlight w:val="cyan"/>
        </w:rPr>
      </w:pPr>
      <w:r>
        <w:rPr>
          <w:rFonts w:cs="Times New Roman"/>
          <w:highlight w:val="cyan"/>
        </w:rPr>
        <w:t>根据各种施工机械噪声值，通过计算可以得出不同类型施工机械在不同距离处的噪声预测值，见表4.1-4。</w:t>
      </w:r>
    </w:p>
    <w:p>
      <w:pPr>
        <w:spacing w:beforeLines="30" w:afterLines="30" w:line="240" w:lineRule="auto"/>
        <w:ind w:firstLine="0" w:firstLineChars="0"/>
        <w:jc w:val="center"/>
        <w:rPr>
          <w:rFonts w:cs="Times New Roman"/>
          <w:b/>
          <w:szCs w:val="20"/>
          <w:highlight w:val="cyan"/>
        </w:rPr>
      </w:pPr>
      <w:r>
        <w:rPr>
          <w:rFonts w:cs="Times New Roman"/>
          <w:b/>
          <w:szCs w:val="20"/>
          <w:highlight w:val="cyan"/>
        </w:rPr>
        <w:t>表4.1-4  施工噪声随距离的衰减情况   单位：dB</w:t>
      </w:r>
      <w:r>
        <w:rPr>
          <w:rFonts w:hint="eastAsia" w:cs="Times New Roman"/>
          <w:b/>
          <w:szCs w:val="20"/>
          <w:highlight w:val="cyan"/>
        </w:rPr>
        <w:t>（</w:t>
      </w:r>
      <w:r>
        <w:rPr>
          <w:rFonts w:cs="Times New Roman"/>
          <w:b/>
          <w:szCs w:val="20"/>
          <w:highlight w:val="cyan"/>
        </w:rPr>
        <w:t>A</w:t>
      </w:r>
      <w:r>
        <w:rPr>
          <w:rFonts w:hint="eastAsia" w:cs="Times New Roman"/>
          <w:b/>
          <w:szCs w:val="20"/>
          <w:highlight w:val="cyan"/>
        </w:rPr>
        <w:t>）</w:t>
      </w:r>
    </w:p>
    <w:tbl>
      <w:tblPr>
        <w:tblStyle w:val="11"/>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21"/>
        <w:gridCol w:w="1338"/>
        <w:gridCol w:w="1338"/>
        <w:gridCol w:w="1340"/>
        <w:gridCol w:w="1340"/>
        <w:gridCol w:w="13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vMerge w:val="restart"/>
            <w:tcBorders>
              <w:tl2br w:val="nil"/>
              <w:tr2bl w:val="nil"/>
            </w:tcBorders>
            <w:vAlign w:val="center"/>
          </w:tcPr>
          <w:p>
            <w:pPr>
              <w:autoSpaceDE w:val="0"/>
              <w:autoSpaceDN w:val="0"/>
              <w:snapToGrid w:val="0"/>
              <w:spacing w:line="240" w:lineRule="auto"/>
              <w:ind w:firstLine="0" w:firstLineChars="0"/>
              <w:jc w:val="center"/>
              <w:rPr>
                <w:rFonts w:cs="Times New Roman"/>
                <w:b/>
                <w:kern w:val="0"/>
                <w:sz w:val="21"/>
                <w:szCs w:val="21"/>
                <w:highlight w:val="cyan"/>
              </w:rPr>
            </w:pPr>
            <w:r>
              <w:rPr>
                <w:rFonts w:cs="Times New Roman"/>
                <w:b/>
                <w:kern w:val="0"/>
                <w:sz w:val="21"/>
                <w:szCs w:val="21"/>
                <w:highlight w:val="cyan"/>
              </w:rPr>
              <w:t>机械名称</w:t>
            </w:r>
          </w:p>
        </w:tc>
        <w:tc>
          <w:tcPr>
            <w:tcW w:w="3931" w:type="pct"/>
            <w:gridSpan w:val="5"/>
            <w:tcBorders>
              <w:tl2br w:val="nil"/>
              <w:tr2bl w:val="nil"/>
            </w:tcBorders>
            <w:vAlign w:val="center"/>
          </w:tcPr>
          <w:p>
            <w:pPr>
              <w:autoSpaceDE w:val="0"/>
              <w:autoSpaceDN w:val="0"/>
              <w:snapToGrid w:val="0"/>
              <w:spacing w:line="240" w:lineRule="auto"/>
              <w:ind w:firstLine="0" w:firstLineChars="0"/>
              <w:jc w:val="center"/>
              <w:rPr>
                <w:rFonts w:cs="Times New Roman"/>
                <w:b/>
                <w:kern w:val="0"/>
                <w:sz w:val="21"/>
                <w:szCs w:val="21"/>
                <w:highlight w:val="cyan"/>
              </w:rPr>
            </w:pPr>
            <w:r>
              <w:rPr>
                <w:rFonts w:cs="Times New Roman"/>
                <w:b/>
                <w:kern w:val="0"/>
                <w:sz w:val="21"/>
                <w:szCs w:val="21"/>
                <w:highlight w:val="cyan"/>
              </w:rPr>
              <w:t>离施工点不同距离的噪声值</w:t>
            </w:r>
            <w:r>
              <w:rPr>
                <w:rFonts w:hint="eastAsia" w:cs="Times New Roman"/>
                <w:b/>
                <w:kern w:val="0"/>
                <w:sz w:val="21"/>
                <w:szCs w:val="21"/>
                <w:highlight w:val="cyan"/>
              </w:rPr>
              <w:t>（</w:t>
            </w:r>
            <w:r>
              <w:rPr>
                <w:rFonts w:cs="Times New Roman"/>
                <w:b/>
                <w:kern w:val="0"/>
                <w:sz w:val="21"/>
                <w:szCs w:val="21"/>
                <w:highlight w:val="cyan"/>
              </w:rPr>
              <w:t>dB</w:t>
            </w:r>
            <w:r>
              <w:rPr>
                <w:rFonts w:hint="eastAsia" w:cs="Times New Roman"/>
                <w:b/>
                <w:kern w:val="0"/>
                <w:sz w:val="21"/>
                <w:szCs w:val="21"/>
                <w:highlight w:val="cyan"/>
              </w:rPr>
              <w:t>（</w:t>
            </w:r>
            <w:r>
              <w:rPr>
                <w:rFonts w:cs="Times New Roman"/>
                <w:b/>
                <w:kern w:val="0"/>
                <w:sz w:val="21"/>
                <w:szCs w:val="21"/>
                <w:highlight w:val="cyan"/>
              </w:rPr>
              <w:t>A</w:t>
            </w:r>
            <w:r>
              <w:rPr>
                <w:rFonts w:hint="eastAsia" w:cs="Times New Roman"/>
                <w:b/>
                <w:kern w:val="0"/>
                <w:sz w:val="21"/>
                <w:szCs w:val="21"/>
                <w:highlight w:val="cya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0" w:type="auto"/>
            <w:vMerge w:val="continue"/>
            <w:tcBorders>
              <w:tl2br w:val="nil"/>
              <w:tr2bl w:val="nil"/>
            </w:tcBorders>
            <w:vAlign w:val="center"/>
          </w:tcPr>
          <w:p>
            <w:pPr>
              <w:widowControl/>
              <w:spacing w:line="240" w:lineRule="auto"/>
              <w:ind w:firstLine="0" w:firstLineChars="0"/>
              <w:jc w:val="left"/>
              <w:rPr>
                <w:rFonts w:cs="Times New Roman"/>
                <w:b/>
                <w:kern w:val="0"/>
                <w:sz w:val="21"/>
                <w:szCs w:val="21"/>
                <w:highlight w:val="cyan"/>
              </w:rPr>
            </w:pP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10m</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50m</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100m</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150m</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200m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推土机</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88</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64</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58</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54</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搅拌机</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80</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66</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60</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56</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气锺、风钻</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95</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78</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65</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54</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混凝土破碎机</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80</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70</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64</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60</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挖土机</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90</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80</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6</w:t>
            </w:r>
            <w:r>
              <w:rPr>
                <w:rFonts w:cs="Times New Roman"/>
                <w:kern w:val="0"/>
                <w:sz w:val="21"/>
                <w:szCs w:val="21"/>
                <w:highlight w:val="cyan"/>
              </w:rPr>
              <w:t>5</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51</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空气压缩机</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90</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83</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74</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60</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68"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钻机</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hint="eastAsia" w:cs="Times New Roman"/>
                <w:kern w:val="0"/>
                <w:sz w:val="21"/>
                <w:szCs w:val="21"/>
                <w:highlight w:val="cyan"/>
              </w:rPr>
              <w:t>80</w:t>
            </w:r>
          </w:p>
        </w:tc>
        <w:tc>
          <w:tcPr>
            <w:tcW w:w="785"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6</w:t>
            </w:r>
            <w:r>
              <w:rPr>
                <w:rFonts w:hint="eastAsia" w:cs="Times New Roman"/>
                <w:kern w:val="0"/>
                <w:sz w:val="21"/>
                <w:szCs w:val="21"/>
                <w:highlight w:val="cyan"/>
              </w:rPr>
              <w:t>8</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58</w:t>
            </w:r>
          </w:p>
        </w:tc>
        <w:tc>
          <w:tcPr>
            <w:tcW w:w="786"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54</w:t>
            </w:r>
          </w:p>
        </w:tc>
        <w:tc>
          <w:tcPr>
            <w:tcW w:w="789" w:type="pct"/>
            <w:tcBorders>
              <w:tl2br w:val="nil"/>
              <w:tr2bl w:val="nil"/>
            </w:tcBorders>
            <w:vAlign w:val="center"/>
          </w:tcPr>
          <w:p>
            <w:pPr>
              <w:autoSpaceDE w:val="0"/>
              <w:autoSpaceDN w:val="0"/>
              <w:snapToGrid w:val="0"/>
              <w:spacing w:line="240" w:lineRule="auto"/>
              <w:ind w:firstLine="0" w:firstLineChars="0"/>
              <w:jc w:val="center"/>
              <w:rPr>
                <w:rFonts w:cs="Times New Roman"/>
                <w:kern w:val="0"/>
                <w:sz w:val="21"/>
                <w:szCs w:val="21"/>
                <w:highlight w:val="cyan"/>
              </w:rPr>
            </w:pPr>
            <w:r>
              <w:rPr>
                <w:rFonts w:cs="Times New Roman"/>
                <w:kern w:val="0"/>
                <w:sz w:val="21"/>
                <w:szCs w:val="21"/>
                <w:highlight w:val="cyan"/>
              </w:rPr>
              <w:t>52</w:t>
            </w:r>
          </w:p>
        </w:tc>
      </w:tr>
    </w:tbl>
    <w:p>
      <w:pPr>
        <w:ind w:firstLine="480"/>
        <w:rPr>
          <w:rFonts w:cs="Times New Roman"/>
          <w:highlight w:val="cyan"/>
        </w:rPr>
      </w:pPr>
      <w:r>
        <w:rPr>
          <w:rFonts w:cs="Times New Roman"/>
          <w:highlight w:val="cyan"/>
        </w:rPr>
        <w:t>施工设备噪声对周围环境会噪声一定的影响，为了减少施工噪声影响，管道工程两侧200m内分布有敏感点的工段应禁止在夜间及午间等居民休息时间进行施工，必须要连续作业的应提前向环保部门进行申报，并及时向周边居民告示，同时应严格落实噪声污染防治措施，加强与周边村镇及居民的沟通，取得居民的理解；其余管段也应落实相应污染防治措施，并尽量避免在夜间进行高噪声作业。管道工程相对每一个敏感点临近的管段施工时间较短，其噪声影响是暂时性的，施工结束后，上述影响也将随之消失。</w:t>
      </w:r>
    </w:p>
    <w:p>
      <w:pPr>
        <w:ind w:firstLine="480"/>
        <w:rPr>
          <w:highlight w:val="cyan"/>
        </w:rPr>
      </w:pPr>
      <w:r>
        <w:rPr>
          <w:rFonts w:hint="eastAsia"/>
          <w:highlight w:val="cyan"/>
        </w:rPr>
        <w:t>3、清管、吹扫噪声影响</w:t>
      </w:r>
    </w:p>
    <w:p>
      <w:pPr>
        <w:ind w:firstLine="480"/>
        <w:rPr>
          <w:rFonts w:cs="Times New Roman"/>
          <w:szCs w:val="20"/>
          <w:highlight w:val="cyan"/>
        </w:rPr>
      </w:pPr>
      <w:r>
        <w:rPr>
          <w:rFonts w:cs="Times New Roman"/>
          <w:highlight w:val="cyan"/>
        </w:rPr>
        <w:t>管道清管、吹扫等气流噪声影响分析根据管道施工及验收规范，管道投产前需要进行清管；吹扫过程需使用压缩空气，其气流噪声会对周边环境产生影响。由于管道已经埋设于地下，压缩气流噪声影响范围主要为压缩空气进口及出口附近，噪声约为80～90dB</w:t>
      </w:r>
      <w:r>
        <w:rPr>
          <w:rFonts w:hint="eastAsia" w:cs="Times New Roman"/>
          <w:highlight w:val="cyan"/>
        </w:rPr>
        <w:t>（</w:t>
      </w:r>
      <w:r>
        <w:rPr>
          <w:rFonts w:cs="Times New Roman"/>
          <w:highlight w:val="cyan"/>
        </w:rPr>
        <w:t>A</w:t>
      </w:r>
      <w:r>
        <w:rPr>
          <w:rFonts w:hint="eastAsia" w:cs="Times New Roman"/>
          <w:highlight w:val="cyan"/>
        </w:rPr>
        <w:t>）</w:t>
      </w:r>
      <w:r>
        <w:rPr>
          <w:rFonts w:cs="Times New Roman"/>
          <w:highlight w:val="cyan"/>
        </w:rPr>
        <w:t>。为避免对敏感点声环境造成不良影响，管道进行投产前的清管、吹扫等工序作业前应做好告示，并尽量安排在昼间进行，尤其管线距离敏感点较近的管道应禁止在在居民休息时间（中午12:00～2:00及夜间22:00～次日6：00）内进行上述作业。由于上述过程仅在管道投产前进行，发生频率较低，对环境影响较为短暂，操作结束后，其噪声影响即消失，因此对环境的影响较小。</w:t>
      </w:r>
      <w:r>
        <w:rPr>
          <w:rFonts w:cs="Times New Roman"/>
          <w:szCs w:val="20"/>
          <w:highlight w:val="cyan"/>
        </w:rPr>
        <w:t>落实本次评价提出的环保措施的前提下，工程建设对周围声环境质量影响可接受。</w:t>
      </w:r>
    </w:p>
    <w:p>
      <w:pPr>
        <w:pStyle w:val="5"/>
        <w:rPr>
          <w:rFonts w:eastAsiaTheme="minorEastAsia"/>
          <w:highlight w:val="cyan"/>
        </w:rPr>
      </w:pPr>
      <w:bookmarkStart w:id="14" w:name="_Toc17386412"/>
      <w:r>
        <w:rPr>
          <w:rFonts w:eastAsiaTheme="minorEastAsia"/>
          <w:highlight w:val="cyan"/>
        </w:rPr>
        <w:t>施工期固体废物环境影响分析与评价</w:t>
      </w:r>
      <w:bookmarkEnd w:id="14"/>
    </w:p>
    <w:p>
      <w:pPr>
        <w:ind w:firstLine="480"/>
        <w:rPr>
          <w:highlight w:val="cyan"/>
        </w:rPr>
      </w:pPr>
      <w:r>
        <w:rPr>
          <w:rFonts w:hint="eastAsia"/>
          <w:highlight w:val="cyan"/>
        </w:rPr>
        <w:t>1、固体废物产生量及分类</w:t>
      </w:r>
    </w:p>
    <w:p>
      <w:pPr>
        <w:ind w:firstLine="480"/>
        <w:rPr>
          <w:rFonts w:cs="Times New Roman"/>
          <w:highlight w:val="cyan"/>
        </w:rPr>
      </w:pPr>
      <w:r>
        <w:rPr>
          <w:rFonts w:hint="eastAsia" w:ascii="宋体" w:hAnsi="宋体" w:eastAsia="宋体" w:cs="宋体"/>
          <w:highlight w:val="cyan"/>
        </w:rPr>
        <w:t>①</w:t>
      </w:r>
      <w:r>
        <w:rPr>
          <w:rFonts w:cs="Times New Roman"/>
          <w:highlight w:val="cyan"/>
        </w:rPr>
        <w:t>施工人员生活垃圾</w:t>
      </w:r>
    </w:p>
    <w:p>
      <w:pPr>
        <w:ind w:firstLine="480"/>
        <w:rPr>
          <w:rFonts w:cs="Times New Roman"/>
          <w:highlight w:val="cyan"/>
        </w:rPr>
      </w:pPr>
      <w:r>
        <w:rPr>
          <w:rFonts w:cs="Times New Roman"/>
          <w:highlight w:val="cyan"/>
        </w:rPr>
        <w:t>本项目施工生活垃圾主要包括废弃包装、纸屑等，产生量按照每人0.5kg/d计算，</w:t>
      </w:r>
      <w:r>
        <w:rPr>
          <w:rFonts w:hint="eastAsia" w:cs="Times New Roman"/>
          <w:highlight w:val="cyan"/>
        </w:rPr>
        <w:t>施工人员约25人，</w:t>
      </w:r>
      <w:r>
        <w:rPr>
          <w:rFonts w:cs="Times New Roman"/>
          <w:highlight w:val="cyan"/>
        </w:rPr>
        <w:t>工期</w:t>
      </w:r>
      <w:r>
        <w:rPr>
          <w:rFonts w:hint="eastAsia" w:cs="Times New Roman"/>
          <w:highlight w:val="cyan"/>
        </w:rPr>
        <w:t>按150</w:t>
      </w:r>
      <w:r>
        <w:rPr>
          <w:rFonts w:cs="Times New Roman"/>
          <w:highlight w:val="cyan"/>
        </w:rPr>
        <w:t>天计，则项目生活垃圾产生量为</w:t>
      </w:r>
      <w:r>
        <w:rPr>
          <w:rFonts w:hint="eastAsia" w:cs="Times New Roman"/>
          <w:highlight w:val="cyan"/>
        </w:rPr>
        <w:t>1.875</w:t>
      </w:r>
      <w:r>
        <w:rPr>
          <w:rFonts w:cs="Times New Roman"/>
          <w:highlight w:val="cyan"/>
        </w:rPr>
        <w:t>t，统一收集后，</w:t>
      </w:r>
      <w:r>
        <w:rPr>
          <w:rFonts w:hint="eastAsia" w:cs="Times New Roman"/>
          <w:highlight w:val="cyan"/>
        </w:rPr>
        <w:t>委托</w:t>
      </w:r>
      <w:r>
        <w:rPr>
          <w:rFonts w:cs="Times New Roman"/>
          <w:highlight w:val="cyan"/>
        </w:rPr>
        <w:t>当地环卫部门处置。</w:t>
      </w:r>
    </w:p>
    <w:p>
      <w:pPr>
        <w:ind w:firstLine="480"/>
        <w:rPr>
          <w:rFonts w:cs="Times New Roman"/>
          <w:highlight w:val="cyan"/>
        </w:rPr>
      </w:pPr>
      <w:r>
        <w:rPr>
          <w:rFonts w:hint="eastAsia" w:ascii="宋体" w:hAnsi="宋体" w:eastAsia="宋体" w:cs="宋体"/>
          <w:highlight w:val="cyan"/>
        </w:rPr>
        <w:t>②</w:t>
      </w:r>
      <w:r>
        <w:rPr>
          <w:rFonts w:cs="Times New Roman"/>
          <w:highlight w:val="cyan"/>
        </w:rPr>
        <w:tab/>
      </w:r>
      <w:r>
        <w:rPr>
          <w:rFonts w:cs="Times New Roman"/>
          <w:highlight w:val="cyan"/>
        </w:rPr>
        <w:t>施工弃土</w:t>
      </w:r>
    </w:p>
    <w:p>
      <w:pPr>
        <w:ind w:firstLine="480"/>
        <w:rPr>
          <w:rFonts w:cs="Times New Roman"/>
          <w:highlight w:val="cyan"/>
        </w:rPr>
      </w:pPr>
      <w:r>
        <w:rPr>
          <w:rFonts w:cs="Times New Roman"/>
          <w:highlight w:val="cyan"/>
        </w:rPr>
        <w:t>本项目产生的土石方主要是管道开挖和回填后产生的剩余弃土石方和废渣。剩余弃土石方和废渣覆土利用，若有剩余由施工单位拉运并负责处置。</w:t>
      </w:r>
    </w:p>
    <w:p>
      <w:pPr>
        <w:ind w:firstLine="480"/>
        <w:rPr>
          <w:rFonts w:cs="Times New Roman"/>
          <w:highlight w:val="cyan"/>
        </w:rPr>
      </w:pPr>
      <w:r>
        <w:rPr>
          <w:rFonts w:hint="eastAsia" w:ascii="宋体" w:hAnsi="宋体" w:eastAsia="宋体" w:cs="宋体"/>
          <w:highlight w:val="cyan"/>
        </w:rPr>
        <w:t>③</w:t>
      </w:r>
      <w:r>
        <w:rPr>
          <w:rFonts w:cs="Times New Roman"/>
          <w:highlight w:val="cyan"/>
        </w:rPr>
        <w:t>施工废料</w:t>
      </w:r>
    </w:p>
    <w:p>
      <w:pPr>
        <w:ind w:firstLine="480"/>
        <w:rPr>
          <w:rFonts w:cs="Times New Roman"/>
          <w:highlight w:val="cyan"/>
        </w:rPr>
      </w:pPr>
      <w:r>
        <w:rPr>
          <w:rFonts w:cs="Times New Roman"/>
          <w:highlight w:val="cyan"/>
        </w:rPr>
        <w:t>施工废料主要包括焊接作业中产生废焊条、防腐作业中产生的废防腐材料及施工过程中产生的废混凝土等。根据类比调查，施工废料的产生量按0.2t/km估算，本项目施工过程产生的施工废料量约为0.</w:t>
      </w:r>
      <w:r>
        <w:rPr>
          <w:rFonts w:hint="eastAsia" w:cs="Times New Roman"/>
          <w:highlight w:val="cyan"/>
        </w:rPr>
        <w:t>4</w:t>
      </w:r>
      <w:r>
        <w:rPr>
          <w:rFonts w:cs="Times New Roman"/>
          <w:highlight w:val="cyan"/>
        </w:rPr>
        <w:t>2t。依托当地环卫部门有偿清运。</w:t>
      </w:r>
    </w:p>
    <w:p>
      <w:pPr>
        <w:ind w:firstLine="480"/>
        <w:rPr>
          <w:rFonts w:cs="Times New Roman"/>
          <w:highlight w:val="cyan"/>
        </w:rPr>
      </w:pPr>
      <w:r>
        <w:rPr>
          <w:rFonts w:hint="eastAsia" w:ascii="宋体" w:hAnsi="宋体" w:eastAsia="宋体" w:cs="宋体"/>
          <w:highlight w:val="cyan"/>
        </w:rPr>
        <w:t>④</w:t>
      </w:r>
      <w:r>
        <w:rPr>
          <w:rFonts w:cs="Times New Roman"/>
          <w:highlight w:val="cyan"/>
        </w:rPr>
        <w:t>施工期废弃管</w:t>
      </w:r>
      <w:r>
        <w:rPr>
          <w:rFonts w:hint="eastAsia" w:cs="Times New Roman"/>
          <w:highlight w:val="cyan"/>
        </w:rPr>
        <w:t>线</w:t>
      </w:r>
    </w:p>
    <w:p>
      <w:pPr>
        <w:widowControl/>
        <w:ind w:firstLine="480"/>
        <w:jc w:val="left"/>
        <w:rPr>
          <w:rFonts w:ascii="宋体" w:hAnsi="宋体" w:eastAsia="宋体" w:cs="宋体"/>
          <w:kern w:val="0"/>
          <w:szCs w:val="24"/>
          <w:highlight w:val="cyan"/>
        </w:rPr>
      </w:pPr>
      <w:r>
        <w:rPr>
          <w:rFonts w:hint="eastAsia" w:ascii="宋体" w:hAnsi="宋体" w:eastAsia="宋体" w:cs="宋体"/>
          <w:kern w:val="0"/>
          <w:szCs w:val="24"/>
          <w:highlight w:val="cyan"/>
        </w:rPr>
        <w:t>本工程拆除旧管道</w:t>
      </w:r>
      <w:r>
        <w:rPr>
          <w:rFonts w:hint="eastAsia" w:eastAsia="宋体" w:cs="Times New Roman"/>
          <w:kern w:val="0"/>
          <w:szCs w:val="24"/>
          <w:highlight w:val="cyan"/>
        </w:rPr>
        <w:t>850</w:t>
      </w:r>
      <w:r>
        <w:rPr>
          <w:rFonts w:eastAsia="宋体" w:cs="Times New Roman"/>
          <w:kern w:val="0"/>
          <w:szCs w:val="24"/>
          <w:highlight w:val="cyan"/>
        </w:rPr>
        <w:t>m</w:t>
      </w:r>
      <w:r>
        <w:rPr>
          <w:rFonts w:hint="eastAsia" w:ascii="宋体" w:hAnsi="宋体" w:eastAsia="宋体" w:cs="宋体"/>
          <w:kern w:val="0"/>
          <w:szCs w:val="24"/>
          <w:highlight w:val="cyan"/>
        </w:rPr>
        <w:t>，</w:t>
      </w:r>
      <w:r>
        <w:rPr>
          <w:rFonts w:hint="eastAsia" w:eastAsia="宋体" w:cs="Times New Roman"/>
          <w:kern w:val="0"/>
          <w:szCs w:val="24"/>
          <w:highlight w:val="cyan"/>
        </w:rPr>
        <w:t>全部注氮处理，两端焊接封堵，就地弃置</w:t>
      </w:r>
      <w:r>
        <w:rPr>
          <w:rFonts w:hint="eastAsia" w:ascii="宋体" w:hAnsi="宋体" w:eastAsia="宋体" w:cs="宋体"/>
          <w:kern w:val="0"/>
          <w:szCs w:val="24"/>
          <w:highlight w:val="cyan"/>
        </w:rPr>
        <w:t>不拆除。</w:t>
      </w:r>
    </w:p>
    <w:p>
      <w:pPr>
        <w:ind w:firstLine="480"/>
        <w:rPr>
          <w:rFonts w:eastAsia="宋体" w:cs="Times New Roman"/>
          <w:highlight w:val="cyan"/>
        </w:rPr>
      </w:pPr>
      <w:r>
        <w:rPr>
          <w:rFonts w:hint="eastAsia" w:ascii="宋体" w:hAnsi="宋体" w:eastAsia="宋体" w:cs="宋体"/>
          <w:highlight w:val="cyan"/>
        </w:rPr>
        <w:t>⑤定向钻泥浆</w:t>
      </w:r>
    </w:p>
    <w:p>
      <w:pPr>
        <w:widowControl/>
        <w:ind w:firstLine="480"/>
        <w:jc w:val="left"/>
        <w:rPr>
          <w:highlight w:val="cyan"/>
        </w:rPr>
      </w:pPr>
      <w:r>
        <w:rPr>
          <w:rFonts w:hint="eastAsia" w:ascii="宋体" w:hAnsi="宋体" w:eastAsia="宋体" w:cs="宋体"/>
          <w:kern w:val="0"/>
          <w:szCs w:val="24"/>
          <w:highlight w:val="cyan"/>
        </w:rPr>
        <w:t>项目泥浆产生量为230t，暂存于泥浆池，项目设置两处泥浆池，韩家村膨润土场入土点一处，西安村出土点一处，泥浆委托有专业处理资质的公司进行处置。</w:t>
      </w:r>
    </w:p>
    <w:p>
      <w:pPr>
        <w:ind w:firstLine="480"/>
        <w:rPr>
          <w:highlight w:val="cyan"/>
        </w:rPr>
      </w:pPr>
      <w:r>
        <w:rPr>
          <w:rFonts w:hint="eastAsia"/>
          <w:highlight w:val="cyan"/>
        </w:rPr>
        <w:t>2、弃土弃渣环境影响分析</w:t>
      </w:r>
    </w:p>
    <w:p>
      <w:pPr>
        <w:ind w:firstLine="480"/>
        <w:rPr>
          <w:rFonts w:cs="Times New Roman"/>
          <w:highlight w:val="cyan"/>
        </w:rPr>
      </w:pPr>
      <w:r>
        <w:rPr>
          <w:rFonts w:cs="Times New Roman"/>
          <w:highlight w:val="cyan"/>
        </w:rPr>
        <w:t>施工过程中弃土、弃渣主要来自管沟开挖等施工过程。</w:t>
      </w:r>
    </w:p>
    <w:p>
      <w:pPr>
        <w:ind w:firstLine="480"/>
        <w:rPr>
          <w:rFonts w:cs="Times New Roman"/>
          <w:highlight w:val="cyan"/>
        </w:rPr>
      </w:pPr>
      <w:r>
        <w:rPr>
          <w:rFonts w:cs="Times New Roman"/>
          <w:highlight w:val="cyan"/>
        </w:rPr>
        <w:t>在耕作区开挖时，熟土（表层耕作土）和生土（下层土）分开堆放，管沟回填按生、熟土顺序填放，保护耕作层。回填后管沟上方留有自然沉降余量（高出地面30cm~50cm</w:t>
      </w:r>
      <w:r>
        <w:rPr>
          <w:rFonts w:hint="eastAsia" w:cs="Times New Roman"/>
          <w:highlight w:val="cyan"/>
        </w:rPr>
        <w:t>）</w:t>
      </w:r>
      <w:r>
        <w:rPr>
          <w:rFonts w:cs="Times New Roman"/>
          <w:highlight w:val="cyan"/>
        </w:rPr>
        <w:t>，多余土方就近平整。</w:t>
      </w:r>
    </w:p>
    <w:p>
      <w:pPr>
        <w:ind w:firstLine="480"/>
        <w:rPr>
          <w:rFonts w:cs="Times New Roman"/>
          <w:highlight w:val="cyan"/>
        </w:rPr>
      </w:pPr>
      <w:r>
        <w:rPr>
          <w:rFonts w:cs="Times New Roman"/>
          <w:highlight w:val="cyan"/>
        </w:rPr>
        <w:t>弃土弃渣的环境影响分析如下：</w:t>
      </w:r>
    </w:p>
    <w:p>
      <w:pPr>
        <w:ind w:firstLine="480"/>
        <w:rPr>
          <w:rFonts w:cs="Times New Roman"/>
          <w:highlight w:val="cyan"/>
        </w:rPr>
      </w:pPr>
      <w:r>
        <w:rPr>
          <w:rFonts w:cs="Times New Roman"/>
          <w:highlight w:val="cyan"/>
        </w:rPr>
        <w:t>（l）工程弃土是施工过程中产生的多余的泥土和碎石，其性质与产生地点泥土和碎石的性质基本相同。</w:t>
      </w:r>
    </w:p>
    <w:p>
      <w:pPr>
        <w:ind w:firstLine="480"/>
        <w:rPr>
          <w:rFonts w:cs="Times New Roman"/>
          <w:highlight w:val="cyan"/>
        </w:rPr>
      </w:pPr>
      <w:r>
        <w:rPr>
          <w:rFonts w:cs="Times New Roman"/>
          <w:highlight w:val="cyan"/>
        </w:rPr>
        <w:t>（2）本工程弃渣量小、弃渣</w:t>
      </w:r>
      <w:r>
        <w:rPr>
          <w:rFonts w:hint="eastAsia" w:cs="Times New Roman"/>
          <w:highlight w:val="cyan"/>
          <w:lang w:val="en-US" w:eastAsia="zh-CN"/>
        </w:rPr>
        <w:t>临时贮存处</w:t>
      </w:r>
      <w:r>
        <w:rPr>
          <w:rFonts w:cs="Times New Roman"/>
          <w:highlight w:val="cyan"/>
        </w:rPr>
        <w:t>的堆渣高度不大、开挖的工作面小、对植物破坏面不大。</w:t>
      </w:r>
    </w:p>
    <w:p>
      <w:pPr>
        <w:ind w:firstLine="480"/>
        <w:rPr>
          <w:rFonts w:cs="Times New Roman"/>
          <w:highlight w:val="cyan"/>
        </w:rPr>
      </w:pPr>
      <w:r>
        <w:rPr>
          <w:rFonts w:cs="Times New Roman"/>
          <w:highlight w:val="cyan"/>
        </w:rPr>
        <w:t>（3）采取表土剥离集中堆放在弃渣</w:t>
      </w:r>
      <w:r>
        <w:rPr>
          <w:rFonts w:hint="eastAsia" w:cs="Times New Roman"/>
          <w:highlight w:val="cyan"/>
          <w:lang w:val="en-US" w:eastAsia="zh-CN"/>
        </w:rPr>
        <w:t>临时贮存处</w:t>
      </w:r>
      <w:r>
        <w:rPr>
          <w:rFonts w:cs="Times New Roman"/>
          <w:highlight w:val="cyan"/>
        </w:rPr>
        <w:t>四周，临时堆土用土袋进行挡护。</w:t>
      </w:r>
    </w:p>
    <w:p>
      <w:pPr>
        <w:ind w:firstLine="480"/>
        <w:rPr>
          <w:rFonts w:cs="Times New Roman"/>
          <w:highlight w:val="cyan"/>
        </w:rPr>
      </w:pPr>
      <w:r>
        <w:rPr>
          <w:rFonts w:cs="Times New Roman"/>
          <w:highlight w:val="cyan"/>
        </w:rPr>
        <w:t>（4）本工程弃渣量小，不设置弃渣场。</w:t>
      </w:r>
    </w:p>
    <w:p>
      <w:pPr>
        <w:ind w:firstLine="420"/>
        <w:rPr>
          <w:rFonts w:cs="Times New Roman"/>
          <w:highlight w:val="cyan"/>
        </w:rPr>
      </w:pPr>
      <w:r>
        <w:rPr>
          <w:rFonts w:cs="Times New Roman"/>
          <w:highlight w:val="cyan"/>
        </w:rPr>
        <w:t>（5）弃渣边坡可用编织袋围护，土工膜覆盖，可有效地减少水土流失和扬尘的产生。</w:t>
      </w:r>
    </w:p>
    <w:p>
      <w:pPr>
        <w:ind w:firstLine="480"/>
        <w:rPr>
          <w:rFonts w:cs="Times New Roman"/>
          <w:highlight w:val="cyan"/>
        </w:rPr>
      </w:pPr>
      <w:r>
        <w:rPr>
          <w:rFonts w:cs="Times New Roman"/>
          <w:highlight w:val="cyan"/>
        </w:rPr>
        <w:t>（6）施工结束后，平整渣场、回填表土后，采取复垦措施或恢复种植林木，减少对生态环境的影响。</w:t>
      </w:r>
    </w:p>
    <w:p>
      <w:pPr>
        <w:ind w:firstLine="480"/>
        <w:rPr>
          <w:rFonts w:cs="Times New Roman"/>
          <w:highlight w:val="cyan"/>
        </w:rPr>
      </w:pPr>
      <w:r>
        <w:rPr>
          <w:rFonts w:cs="Times New Roman"/>
          <w:highlight w:val="cyan"/>
        </w:rPr>
        <w:t>在采取上述减渣措施和环境保护措施后，其一，将减少弃渣填埋量，进而减少填埋占地，减少和控制新增的水土流失，保护和改善生态环境；其二，防止弃渣场外雨水的冲刷，将减少水土流失。</w:t>
      </w:r>
    </w:p>
    <w:p>
      <w:pPr>
        <w:ind w:firstLine="480"/>
        <w:rPr>
          <w:rFonts w:cs="Times New Roman"/>
          <w:highlight w:val="cyan"/>
        </w:rPr>
      </w:pPr>
      <w:r>
        <w:rPr>
          <w:rFonts w:cs="Times New Roman"/>
          <w:highlight w:val="cyan"/>
        </w:rPr>
        <w:t>综上所述，在弃渣合理并采取以上环境保护措施的情况下，本工程弃渣对环境影响较小。</w:t>
      </w:r>
    </w:p>
    <w:p>
      <w:pPr>
        <w:ind w:firstLine="480"/>
        <w:rPr>
          <w:highlight w:val="cyan"/>
        </w:rPr>
      </w:pPr>
      <w:r>
        <w:rPr>
          <w:rFonts w:hint="eastAsia"/>
          <w:highlight w:val="cyan"/>
        </w:rPr>
        <w:t>3、生活垃圾环境影响分析</w:t>
      </w:r>
    </w:p>
    <w:p>
      <w:pPr>
        <w:ind w:firstLine="480"/>
        <w:rPr>
          <w:rFonts w:cs="Times New Roman"/>
          <w:highlight w:val="cyan"/>
        </w:rPr>
      </w:pPr>
      <w:r>
        <w:rPr>
          <w:rFonts w:cs="Times New Roman"/>
          <w:highlight w:val="cyan"/>
        </w:rPr>
        <w:t>本项目施工生活垃圾主要包括废弃包装、纸屑等，产生量为</w:t>
      </w:r>
      <w:r>
        <w:rPr>
          <w:rFonts w:hint="eastAsia" w:cs="Times New Roman"/>
          <w:highlight w:val="cyan"/>
        </w:rPr>
        <w:t>1.875</w:t>
      </w:r>
      <w:r>
        <w:rPr>
          <w:rFonts w:cs="Times New Roman"/>
          <w:highlight w:val="cyan"/>
        </w:rPr>
        <w:t>t，统一收集后，依托当地环卫部门处置。对环境影响较小。</w:t>
      </w:r>
    </w:p>
    <w:p>
      <w:pPr>
        <w:ind w:firstLine="480"/>
        <w:rPr>
          <w:highlight w:val="cyan"/>
        </w:rPr>
      </w:pPr>
      <w:r>
        <w:rPr>
          <w:rFonts w:hint="eastAsia"/>
          <w:highlight w:val="cyan"/>
        </w:rPr>
        <w:t>4、施工废料环境影响分析</w:t>
      </w:r>
    </w:p>
    <w:p>
      <w:pPr>
        <w:ind w:firstLine="480"/>
        <w:rPr>
          <w:rFonts w:cs="Times New Roman"/>
          <w:highlight w:val="cyan"/>
        </w:rPr>
      </w:pPr>
      <w:r>
        <w:rPr>
          <w:rFonts w:cs="Times New Roman"/>
          <w:highlight w:val="cyan"/>
        </w:rPr>
        <w:t>施工废料主要包括焊接作业中产生废焊条、防腐作业中产生的废防腐材料等。本项目施工过程产生的施工废料量约为0.</w:t>
      </w:r>
      <w:r>
        <w:rPr>
          <w:rFonts w:hint="eastAsia" w:cs="Times New Roman"/>
          <w:highlight w:val="cyan"/>
        </w:rPr>
        <w:t>4</w:t>
      </w:r>
      <w:r>
        <w:rPr>
          <w:rFonts w:cs="Times New Roman"/>
          <w:highlight w:val="cyan"/>
        </w:rPr>
        <w:t>2t，依托当地环卫部门有偿清运；</w:t>
      </w:r>
      <w:r>
        <w:rPr>
          <w:rFonts w:hint="eastAsia" w:cs="Times New Roman"/>
          <w:highlight w:val="cyan"/>
        </w:rPr>
        <w:t>定向钻产生的泥浆共计230t，均委托有处理资质的单位处置；</w:t>
      </w:r>
      <w:r>
        <w:rPr>
          <w:rFonts w:cs="Times New Roman"/>
          <w:highlight w:val="cyan"/>
        </w:rPr>
        <w:t>施工废料全部得到有效的处理和处置，对环境影响较小。</w:t>
      </w:r>
    </w:p>
    <w:p>
      <w:pPr>
        <w:pStyle w:val="5"/>
        <w:rPr>
          <w:rFonts w:eastAsiaTheme="minorEastAsia"/>
          <w:highlight w:val="cyan"/>
        </w:rPr>
      </w:pPr>
      <w:r>
        <w:rPr>
          <w:rFonts w:eastAsiaTheme="minorEastAsia"/>
          <w:highlight w:val="cyan"/>
        </w:rPr>
        <w:t>现有管线拆除可能产生的其他环境影响分析与评价</w:t>
      </w:r>
    </w:p>
    <w:p>
      <w:pPr>
        <w:ind w:firstLine="480"/>
        <w:rPr>
          <w:rFonts w:cs="Times New Roman"/>
          <w:highlight w:val="cyan"/>
        </w:rPr>
      </w:pPr>
      <w:r>
        <w:rPr>
          <w:rFonts w:hint="eastAsia" w:cs="Times New Roman"/>
          <w:highlight w:val="cyan"/>
        </w:rPr>
        <w:t>管道废弃后存在潜在环境影响，如不妥善处理，可能会造成环境污染。对天然气管道而言，管道涂层及其降解物等可能对土壤和水环境造成污染，就地废置的管道可能形成地下水流通道从而造成污染物的长距离转移，管道腐蚀可能造成地面沉降等</w:t>
      </w:r>
      <w:r>
        <w:rPr>
          <w:rFonts w:cs="Times New Roman"/>
          <w:highlight w:val="cyan"/>
        </w:rPr>
        <w:t>。</w:t>
      </w:r>
    </w:p>
    <w:p>
      <w:pPr>
        <w:pStyle w:val="5"/>
        <w:rPr>
          <w:rFonts w:eastAsiaTheme="minorEastAsia"/>
          <w:highlight w:val="cyan"/>
        </w:rPr>
      </w:pPr>
      <w:bookmarkStart w:id="15" w:name="_Toc505620363"/>
      <w:bookmarkStart w:id="16" w:name="_Toc17386413"/>
      <w:r>
        <w:rPr>
          <w:rFonts w:eastAsiaTheme="minorEastAsia"/>
          <w:highlight w:val="cyan"/>
        </w:rPr>
        <w:t>施工期环境影响控制措施</w:t>
      </w:r>
      <w:bookmarkEnd w:id="15"/>
      <w:bookmarkEnd w:id="16"/>
    </w:p>
    <w:p>
      <w:pPr>
        <w:ind w:firstLine="480"/>
        <w:rPr>
          <w:rFonts w:cs="Times New Roman"/>
          <w:highlight w:val="cyan"/>
        </w:rPr>
      </w:pPr>
      <w:r>
        <w:rPr>
          <w:rFonts w:cs="Times New Roman"/>
          <w:highlight w:val="cyan"/>
        </w:rPr>
        <w:t>1、施工扬尘的防治</w:t>
      </w:r>
    </w:p>
    <w:p>
      <w:pPr>
        <w:ind w:firstLine="480"/>
        <w:rPr>
          <w:rFonts w:cs="Times New Roman"/>
          <w:highlight w:val="cyan"/>
        </w:rPr>
      </w:pPr>
      <w:r>
        <w:rPr>
          <w:rFonts w:cs="Times New Roman"/>
          <w:highlight w:val="cyan"/>
        </w:rPr>
        <w:t>根据《山东省扬尘污染防治管理办法》（省政府令第248号）、《潍坊市建筑工地扬尘污染防治技术导则》、《防治城市扬尘污染技术规范》（HJ/T393-2007）的规定，工程施工单位应当建立扬尘污染防治责任制，采取遮盖、围挡、密闭、喷洒、冲洗、绿化等防尘措施，施工工地内车行道路应当采取硬化等降尘措施，裸露地面应当铺设礁渣、细石或者其他功能相当的材料，或者采取覆盖防尘布或者防尘网等措施，保持施工场所和周围环境的清洁。</w:t>
      </w:r>
    </w:p>
    <w:p>
      <w:pPr>
        <w:ind w:firstLine="480"/>
        <w:rPr>
          <w:rFonts w:cs="Times New Roman"/>
          <w:highlight w:val="cyan"/>
        </w:rPr>
      </w:pPr>
      <w:r>
        <w:rPr>
          <w:rFonts w:cs="Times New Roman"/>
          <w:highlight w:val="cyan"/>
        </w:rPr>
        <w:t>进行管线和道路施工除符合前款规定外，还应当对回填的沟槽，采取洒水、覆盖等措施，防止扬尘污染。</w:t>
      </w:r>
    </w:p>
    <w:p>
      <w:pPr>
        <w:ind w:firstLine="480"/>
        <w:rPr>
          <w:rFonts w:cs="Times New Roman"/>
          <w:highlight w:val="cyan"/>
        </w:rPr>
      </w:pPr>
      <w:r>
        <w:rPr>
          <w:rFonts w:cs="Times New Roman"/>
          <w:highlight w:val="cyan"/>
        </w:rPr>
        <w:t>禁止工程施工单位从高处向下倾倒或者抛洒各类散装物料和建筑垃圾。</w:t>
      </w:r>
    </w:p>
    <w:p>
      <w:pPr>
        <w:ind w:firstLine="480"/>
        <w:rPr>
          <w:rFonts w:cs="Times New Roman"/>
          <w:highlight w:val="cyan"/>
        </w:rPr>
      </w:pPr>
      <w:r>
        <w:rPr>
          <w:rFonts w:cs="Times New Roman"/>
          <w:highlight w:val="cyan"/>
        </w:rPr>
        <w:t>在城镇道路上行驶的机动车应当保持车容整洁，不得带泥带灰上路。</w:t>
      </w:r>
    </w:p>
    <w:p>
      <w:pPr>
        <w:ind w:firstLine="480"/>
        <w:rPr>
          <w:rFonts w:cs="Times New Roman"/>
          <w:highlight w:val="cyan"/>
        </w:rPr>
      </w:pPr>
      <w:r>
        <w:rPr>
          <w:rFonts w:cs="Times New Roman"/>
          <w:highlight w:val="cyan"/>
        </w:rPr>
        <w:t>运输砂石、渣土、土方、垃圾等物料的车辆应当采取蓬盖、密闭等措施，防止在运输过程中因物料遗撒或者泄漏而产生扬尘污染。</w:t>
      </w:r>
    </w:p>
    <w:p>
      <w:pPr>
        <w:ind w:firstLine="480"/>
        <w:rPr>
          <w:rFonts w:cs="Times New Roman"/>
          <w:highlight w:val="cyan"/>
        </w:rPr>
      </w:pPr>
      <w:r>
        <w:rPr>
          <w:rFonts w:cs="Times New Roman"/>
          <w:highlight w:val="cyan"/>
        </w:rPr>
        <w:t>根据以上规定，结合拟建项目实际情况，采取以下措施控制施工期扬尘污染：</w:t>
      </w:r>
    </w:p>
    <w:p>
      <w:pPr>
        <w:ind w:firstLine="480"/>
        <w:rPr>
          <w:rFonts w:cs="Times New Roman"/>
          <w:highlight w:val="cyan"/>
        </w:rPr>
      </w:pPr>
      <w:r>
        <w:rPr>
          <w:rFonts w:cs="Times New Roman"/>
          <w:highlight w:val="cyan"/>
        </w:rPr>
        <w:t>（1）设置施工标志牌</w:t>
      </w:r>
    </w:p>
    <w:p>
      <w:pPr>
        <w:ind w:firstLine="480"/>
        <w:rPr>
          <w:rFonts w:cs="Times New Roman"/>
          <w:highlight w:val="cyan"/>
        </w:rPr>
      </w:pPr>
      <w:r>
        <w:rPr>
          <w:rFonts w:cs="Times New Roman"/>
          <w:highlight w:val="cyan"/>
        </w:rPr>
        <w:t>施工期间，施工单位应根据《建设工程施工现场管理规定》的规定设置现场平面布置图、工程概况牌、安全生产牌、消防保卫牌、文明施工牌、环境保护牌、管理人员名单及监督电话牌等。</w:t>
      </w:r>
    </w:p>
    <w:p>
      <w:pPr>
        <w:ind w:firstLine="480"/>
        <w:rPr>
          <w:rFonts w:cs="Times New Roman"/>
          <w:highlight w:val="cyan"/>
        </w:rPr>
      </w:pPr>
      <w:r>
        <w:rPr>
          <w:rFonts w:cs="Times New Roman"/>
          <w:highlight w:val="cyan"/>
        </w:rPr>
        <w:t>（2）围挡、围栏及防溢座的设置</w:t>
      </w:r>
    </w:p>
    <w:p>
      <w:pPr>
        <w:ind w:firstLine="480"/>
        <w:rPr>
          <w:rFonts w:cs="Times New Roman"/>
          <w:highlight w:val="cyan"/>
        </w:rPr>
      </w:pPr>
      <w:r>
        <w:rPr>
          <w:rFonts w:cs="Times New Roman"/>
          <w:highlight w:val="cyan"/>
        </w:rPr>
        <w:t>施工期间，边界应设置高度3～5米以上的围挡；以上围挡高度可视地方管理要求适当增加。围挡底端应设置防溢座，围挡之间以及围挡与防溢座之间无缝隙。</w:t>
      </w:r>
    </w:p>
    <w:p>
      <w:pPr>
        <w:ind w:firstLine="480"/>
        <w:rPr>
          <w:rFonts w:cs="Times New Roman"/>
          <w:highlight w:val="cyan"/>
        </w:rPr>
      </w:pPr>
      <w:r>
        <w:rPr>
          <w:rFonts w:cs="Times New Roman"/>
          <w:highlight w:val="cyan"/>
        </w:rPr>
        <w:t>（3）土方工程防尘措施</w:t>
      </w:r>
    </w:p>
    <w:p>
      <w:pPr>
        <w:ind w:firstLine="480"/>
        <w:rPr>
          <w:rFonts w:cs="Times New Roman"/>
          <w:highlight w:val="cyan"/>
        </w:rPr>
      </w:pPr>
      <w:r>
        <w:rPr>
          <w:rFonts w:cs="Times New Roman"/>
          <w:highlight w:val="cyan"/>
        </w:rPr>
        <w:t>土方工程包括土的开挖、运输和填筑等施工过程，有时还需进行排水、降水、土壁支撑等准备工作。遇到干燥、易起尘的土方工程作业时，应辅以洒水压尘，尽量缩短起尘操作时间。遇到四级或四级以上大风天气，应停止土方作业，同时作业处覆以防尘网。</w:t>
      </w:r>
    </w:p>
    <w:p>
      <w:pPr>
        <w:ind w:firstLine="480"/>
        <w:rPr>
          <w:rFonts w:cs="Times New Roman"/>
          <w:highlight w:val="cyan"/>
        </w:rPr>
      </w:pPr>
      <w:r>
        <w:rPr>
          <w:rFonts w:cs="Times New Roman"/>
          <w:highlight w:val="cyan"/>
        </w:rPr>
        <w:t>（4）建筑材料的防尘管理措施</w:t>
      </w:r>
    </w:p>
    <w:p>
      <w:pPr>
        <w:ind w:firstLine="480"/>
        <w:rPr>
          <w:rFonts w:cs="Times New Roman"/>
          <w:highlight w:val="cyan"/>
        </w:rPr>
      </w:pPr>
      <w:r>
        <w:rPr>
          <w:rFonts w:cs="Times New Roman"/>
          <w:highlight w:val="cyan"/>
        </w:rPr>
        <w:t>施工过程中使用水泥、石灰、砂石、涂料、铺装材料等易产生扬尘的建筑材料，应采取下列措施之一：</w:t>
      </w:r>
      <w:r>
        <w:rPr>
          <w:rFonts w:hint="eastAsia" w:ascii="宋体" w:hAnsi="宋体" w:eastAsia="宋体" w:cs="宋体"/>
          <w:highlight w:val="cyan"/>
        </w:rPr>
        <w:t>①</w:t>
      </w:r>
      <w:r>
        <w:rPr>
          <w:rFonts w:cs="Times New Roman"/>
          <w:highlight w:val="cyan"/>
        </w:rPr>
        <w:t>密闭存储；</w:t>
      </w:r>
      <w:r>
        <w:rPr>
          <w:rFonts w:hint="eastAsia" w:ascii="宋体" w:hAnsi="宋体" w:eastAsia="宋体" w:cs="宋体"/>
          <w:highlight w:val="cyan"/>
        </w:rPr>
        <w:t>②</w:t>
      </w:r>
      <w:r>
        <w:rPr>
          <w:rFonts w:cs="Times New Roman"/>
          <w:highlight w:val="cyan"/>
        </w:rPr>
        <w:t>设置围挡或堆砌围墙；</w:t>
      </w:r>
      <w:r>
        <w:rPr>
          <w:rFonts w:hint="eastAsia" w:ascii="宋体" w:hAnsi="宋体" w:eastAsia="宋体" w:cs="宋体"/>
          <w:highlight w:val="cyan"/>
        </w:rPr>
        <w:t>③</w:t>
      </w:r>
      <w:r>
        <w:rPr>
          <w:rFonts w:cs="Times New Roman"/>
          <w:highlight w:val="cyan"/>
        </w:rPr>
        <w:t>采用防尘布苫盖；</w:t>
      </w:r>
      <w:r>
        <w:rPr>
          <w:rFonts w:hint="eastAsia" w:ascii="宋体" w:hAnsi="宋体" w:eastAsia="宋体" w:cs="宋体"/>
          <w:highlight w:val="cyan"/>
        </w:rPr>
        <w:t>④</w:t>
      </w:r>
      <w:r>
        <w:rPr>
          <w:rFonts w:cs="Times New Roman"/>
          <w:highlight w:val="cyan"/>
        </w:rPr>
        <w:t>其他有效的防尘措施。</w:t>
      </w:r>
    </w:p>
    <w:p>
      <w:pPr>
        <w:ind w:firstLine="480"/>
        <w:rPr>
          <w:rFonts w:cs="Times New Roman"/>
          <w:highlight w:val="cyan"/>
        </w:rPr>
      </w:pPr>
      <w:r>
        <w:rPr>
          <w:rFonts w:cs="Times New Roman"/>
          <w:highlight w:val="cyan"/>
        </w:rPr>
        <w:t>（5）建筑垃圾的防尘管理措施</w:t>
      </w:r>
    </w:p>
    <w:p>
      <w:pPr>
        <w:ind w:firstLine="480"/>
        <w:rPr>
          <w:rFonts w:cs="Times New Roman"/>
          <w:highlight w:val="cyan"/>
        </w:rPr>
      </w:pPr>
      <w:r>
        <w:rPr>
          <w:rFonts w:cs="Times New Roman"/>
          <w:highlight w:val="cyan"/>
        </w:rPr>
        <w:t>施工工程中产生的弃土、弃料及其他建筑垃圾，应及时清运。若在工地内堆置超过一周的，则应采取下列措施之一，防止风蚀起尘及水蚀迁移：</w:t>
      </w:r>
      <w:r>
        <w:rPr>
          <w:rFonts w:hint="eastAsia" w:ascii="宋体" w:hAnsi="宋体" w:eastAsia="宋体" w:cs="宋体"/>
          <w:highlight w:val="cyan"/>
        </w:rPr>
        <w:t>①</w:t>
      </w:r>
      <w:r>
        <w:rPr>
          <w:rFonts w:cs="Times New Roman"/>
          <w:highlight w:val="cyan"/>
        </w:rPr>
        <w:t>覆盖防尘布、防尘网；</w:t>
      </w:r>
      <w:r>
        <w:rPr>
          <w:rFonts w:hint="eastAsia" w:ascii="宋体" w:hAnsi="宋体" w:eastAsia="宋体" w:cs="宋体"/>
          <w:highlight w:val="cyan"/>
        </w:rPr>
        <w:t>②</w:t>
      </w:r>
      <w:r>
        <w:rPr>
          <w:rFonts w:cs="Times New Roman"/>
          <w:highlight w:val="cyan"/>
        </w:rPr>
        <w:t>定期喷洒抑尘剂；</w:t>
      </w:r>
      <w:r>
        <w:rPr>
          <w:rFonts w:hint="eastAsia" w:ascii="宋体" w:hAnsi="宋体" w:eastAsia="宋体" w:cs="宋体"/>
          <w:highlight w:val="cyan"/>
        </w:rPr>
        <w:t>③</w:t>
      </w:r>
      <w:r>
        <w:rPr>
          <w:rFonts w:cs="Times New Roman"/>
          <w:highlight w:val="cyan"/>
        </w:rPr>
        <w:t>定期喷水压尘；</w:t>
      </w:r>
      <w:r>
        <w:rPr>
          <w:rFonts w:hint="eastAsia" w:ascii="宋体" w:hAnsi="宋体" w:eastAsia="宋体" w:cs="宋体"/>
          <w:highlight w:val="cyan"/>
        </w:rPr>
        <w:t>④</w:t>
      </w:r>
      <w:r>
        <w:rPr>
          <w:rFonts w:cs="Times New Roman"/>
          <w:highlight w:val="cyan"/>
        </w:rPr>
        <w:t>其他有效的防尘措施。</w:t>
      </w:r>
    </w:p>
    <w:p>
      <w:pPr>
        <w:ind w:firstLine="480"/>
        <w:rPr>
          <w:rFonts w:cs="Times New Roman"/>
          <w:highlight w:val="cyan"/>
        </w:rPr>
      </w:pPr>
      <w:r>
        <w:rPr>
          <w:rFonts w:cs="Times New Roman"/>
          <w:highlight w:val="cyan"/>
        </w:rPr>
        <w:t>（6）设置洗车平台，完善排水设施，防止泥土粘带</w:t>
      </w:r>
    </w:p>
    <w:p>
      <w:pPr>
        <w:ind w:firstLine="480"/>
        <w:rPr>
          <w:rFonts w:cs="Times New Roman"/>
          <w:highlight w:val="cyan"/>
        </w:rPr>
      </w:pPr>
      <w:r>
        <w:rPr>
          <w:rFonts w:cs="Times New Roman"/>
          <w:highlight w:val="cyan"/>
        </w:rPr>
        <w:t>（7）进出工地的物料、渣土、垃圾运输车辆的防尘措施</w:t>
      </w:r>
    </w:p>
    <w:p>
      <w:pPr>
        <w:ind w:firstLine="480"/>
        <w:rPr>
          <w:rFonts w:cs="Times New Roman"/>
          <w:highlight w:val="cyan"/>
        </w:rPr>
      </w:pPr>
      <w:r>
        <w:rPr>
          <w:rFonts w:cs="Times New Roman"/>
          <w:highlight w:val="cyan"/>
        </w:rPr>
        <w:t>进出工地的物料、渣土、垃圾运输车辆，应尽可能采用密闭车斗，并保证物料不遗撒外漏。</w:t>
      </w:r>
    </w:p>
    <w:p>
      <w:pPr>
        <w:ind w:firstLine="480"/>
        <w:rPr>
          <w:rFonts w:cs="Times New Roman"/>
          <w:highlight w:val="cyan"/>
        </w:rPr>
      </w:pPr>
      <w:r>
        <w:rPr>
          <w:rFonts w:cs="Times New Roman"/>
          <w:highlight w:val="cyan"/>
        </w:rPr>
        <w:t>（8）施工工地道路防尘措施</w:t>
      </w:r>
    </w:p>
    <w:p>
      <w:pPr>
        <w:ind w:firstLine="480"/>
        <w:rPr>
          <w:rFonts w:cs="Times New Roman"/>
          <w:highlight w:val="cyan"/>
        </w:rPr>
      </w:pPr>
      <w:r>
        <w:rPr>
          <w:rFonts w:cs="Times New Roman"/>
          <w:highlight w:val="cyan"/>
        </w:rPr>
        <w:t>施工期间，施工工地内及工地出口至铺装道路间的车行道路，应采取下列措施之一，并保持路面清洁，防止机动车扬尘：</w:t>
      </w:r>
      <w:r>
        <w:rPr>
          <w:rFonts w:hint="eastAsia" w:ascii="宋体" w:hAnsi="宋体" w:eastAsia="宋体" w:cs="宋体"/>
          <w:highlight w:val="cyan"/>
        </w:rPr>
        <w:t>①</w:t>
      </w:r>
      <w:r>
        <w:rPr>
          <w:rFonts w:cs="Times New Roman"/>
          <w:highlight w:val="cyan"/>
        </w:rPr>
        <w:t>铺设钢板；</w:t>
      </w:r>
      <w:r>
        <w:rPr>
          <w:rFonts w:hint="eastAsia" w:ascii="宋体" w:hAnsi="宋体" w:eastAsia="宋体" w:cs="宋体"/>
          <w:highlight w:val="cyan"/>
        </w:rPr>
        <w:t>②</w:t>
      </w:r>
      <w:r>
        <w:rPr>
          <w:rFonts w:cs="Times New Roman"/>
          <w:highlight w:val="cyan"/>
        </w:rPr>
        <w:t>铺设水泥混凝土；</w:t>
      </w:r>
      <w:r>
        <w:rPr>
          <w:rFonts w:hint="eastAsia" w:ascii="宋体" w:hAnsi="宋体" w:eastAsia="宋体" w:cs="宋体"/>
          <w:highlight w:val="cyan"/>
        </w:rPr>
        <w:t>③</w:t>
      </w:r>
      <w:r>
        <w:rPr>
          <w:rFonts w:cs="Times New Roman"/>
          <w:highlight w:val="cyan"/>
        </w:rPr>
        <w:t>铺设沥青混凝土；</w:t>
      </w:r>
      <w:r>
        <w:rPr>
          <w:rFonts w:hint="eastAsia" w:ascii="宋体" w:hAnsi="宋体" w:eastAsia="宋体" w:cs="宋体"/>
          <w:highlight w:val="cyan"/>
        </w:rPr>
        <w:t>④</w:t>
      </w:r>
      <w:r>
        <w:rPr>
          <w:rFonts w:cs="Times New Roman"/>
          <w:highlight w:val="cyan"/>
        </w:rPr>
        <w:t>铺设用礁渣、细石或其它功能相当的材料等，并辅以洒水、喷洒抑尘剂等措施。</w:t>
      </w:r>
      <w:r>
        <w:rPr>
          <w:rFonts w:hint="eastAsia" w:ascii="宋体" w:hAnsi="宋体" w:eastAsia="宋体" w:cs="宋体"/>
          <w:highlight w:val="cyan"/>
        </w:rPr>
        <w:t>⑤</w:t>
      </w:r>
      <w:r>
        <w:rPr>
          <w:rFonts w:cs="Times New Roman"/>
          <w:highlight w:val="cyan"/>
        </w:rPr>
        <w:t>其他有效的防尘措施。</w:t>
      </w:r>
    </w:p>
    <w:p>
      <w:pPr>
        <w:ind w:firstLine="480"/>
        <w:rPr>
          <w:rFonts w:cs="Times New Roman"/>
          <w:highlight w:val="cyan"/>
        </w:rPr>
      </w:pPr>
      <w:r>
        <w:rPr>
          <w:rFonts w:cs="Times New Roman"/>
          <w:highlight w:val="cyan"/>
        </w:rPr>
        <w:t>（9）施工工地道路积尘清洁措施</w:t>
      </w:r>
    </w:p>
    <w:p>
      <w:pPr>
        <w:ind w:firstLine="480"/>
        <w:rPr>
          <w:rFonts w:cs="Times New Roman"/>
          <w:highlight w:val="cyan"/>
        </w:rPr>
      </w:pPr>
      <w:r>
        <w:rPr>
          <w:rFonts w:cs="Times New Roman"/>
          <w:highlight w:val="cyan"/>
        </w:rPr>
        <w:t>可采用吸尘或水冲洗的方法清洁施工工地道路积尘，不得在未实施洒水等抑尘措施情况下进行直接清扫。</w:t>
      </w:r>
    </w:p>
    <w:p>
      <w:pPr>
        <w:ind w:firstLine="480"/>
        <w:rPr>
          <w:rFonts w:cs="Times New Roman"/>
          <w:highlight w:val="cyan"/>
        </w:rPr>
      </w:pPr>
      <w:r>
        <w:rPr>
          <w:rFonts w:cs="Times New Roman"/>
          <w:highlight w:val="cyan"/>
        </w:rPr>
        <w:t>（10）工地周围环境的保洁</w:t>
      </w:r>
    </w:p>
    <w:p>
      <w:pPr>
        <w:ind w:firstLine="480"/>
        <w:rPr>
          <w:rFonts w:cs="Times New Roman"/>
          <w:highlight w:val="cyan"/>
        </w:rPr>
      </w:pPr>
      <w:r>
        <w:rPr>
          <w:rFonts w:cs="Times New Roman"/>
          <w:highlight w:val="cyan"/>
        </w:rPr>
        <w:t>施工单位保洁责任区的范围应根据施工扬尘影响情况确定，一般设在施工工地周围20 米范围内。</w:t>
      </w:r>
    </w:p>
    <w:p>
      <w:pPr>
        <w:ind w:firstLine="480"/>
        <w:rPr>
          <w:rFonts w:cs="Times New Roman"/>
          <w:highlight w:val="cyan"/>
        </w:rPr>
      </w:pPr>
      <w:r>
        <w:rPr>
          <w:rFonts w:cs="Times New Roman"/>
          <w:highlight w:val="cyan"/>
        </w:rPr>
        <w:t>2、施工噪声的防治</w:t>
      </w:r>
    </w:p>
    <w:p>
      <w:pPr>
        <w:ind w:firstLine="480"/>
        <w:rPr>
          <w:rFonts w:cs="Times New Roman"/>
          <w:highlight w:val="cyan"/>
        </w:rPr>
      </w:pPr>
      <w:r>
        <w:rPr>
          <w:rFonts w:cs="Times New Roman"/>
          <w:highlight w:val="cyan"/>
        </w:rPr>
        <w:t>施工噪声控制措施主要是对施工设备、施工时间和施工人员的控制和管理。</w:t>
      </w:r>
    </w:p>
    <w:p>
      <w:pPr>
        <w:ind w:firstLine="480"/>
        <w:rPr>
          <w:rFonts w:cs="Times New Roman"/>
          <w:highlight w:val="cyan"/>
        </w:rPr>
      </w:pPr>
      <w:r>
        <w:rPr>
          <w:rFonts w:cs="Times New Roman"/>
          <w:highlight w:val="cyan"/>
        </w:rPr>
        <w:t>（1）推行清洁生产，必须采用低噪声的施工机械和先进的施工技术，并作为中标的主要内容，以达到控制噪声的目的。</w:t>
      </w:r>
    </w:p>
    <w:p>
      <w:pPr>
        <w:ind w:firstLine="480"/>
        <w:rPr>
          <w:rFonts w:cs="Times New Roman"/>
          <w:highlight w:val="cyan"/>
        </w:rPr>
      </w:pPr>
      <w:r>
        <w:rPr>
          <w:rFonts w:cs="Times New Roman"/>
          <w:highlight w:val="cyan"/>
        </w:rPr>
        <w:t>（2）在施工机械与设备与基础或连接部位之间采用弹簧减震、橡胶减震、管道减震、阻尼减震技术，可减少动量，降低噪声。</w:t>
      </w:r>
    </w:p>
    <w:p>
      <w:pPr>
        <w:ind w:firstLine="480"/>
        <w:rPr>
          <w:rFonts w:cs="Times New Roman"/>
          <w:highlight w:val="cyan"/>
        </w:rPr>
      </w:pPr>
      <w:r>
        <w:rPr>
          <w:rFonts w:cs="Times New Roman"/>
          <w:highlight w:val="cyan"/>
        </w:rPr>
        <w:t>（3）降低钢模施工噪声，小钢模改为竹夹板以减少振动作业时冲击钢模产生噪声。</w:t>
      </w:r>
    </w:p>
    <w:p>
      <w:pPr>
        <w:ind w:firstLine="480"/>
        <w:rPr>
          <w:rFonts w:cs="Times New Roman"/>
          <w:highlight w:val="cyan"/>
        </w:rPr>
      </w:pPr>
      <w:r>
        <w:rPr>
          <w:rFonts w:cs="Times New Roman"/>
          <w:highlight w:val="cyan"/>
        </w:rPr>
        <w:t>（4）加强施工现场的噪声监测：按《建筑施工场界环境噪声排放标准》（GB12523-2011）的规定，实施施工期场界噪声监测，发现有超过施工场界噪声限值标准的，立即进行整改。</w:t>
      </w:r>
    </w:p>
    <w:p>
      <w:pPr>
        <w:ind w:firstLine="480"/>
        <w:rPr>
          <w:rFonts w:cs="Times New Roman"/>
          <w:highlight w:val="cyan"/>
        </w:rPr>
      </w:pPr>
      <w:r>
        <w:rPr>
          <w:rFonts w:cs="Times New Roman"/>
          <w:highlight w:val="cyan"/>
        </w:rPr>
        <w:t>（5）提倡文明施工，建立、健全控制人为噪声的管理制度，增强施工人员的环保意识，提高防止噪声扰民的自觉性，减少人为噪声污染。</w:t>
      </w:r>
    </w:p>
    <w:p>
      <w:pPr>
        <w:ind w:firstLine="480"/>
        <w:rPr>
          <w:rFonts w:cs="Times New Roman"/>
          <w:highlight w:val="cyan"/>
        </w:rPr>
      </w:pPr>
      <w:r>
        <w:rPr>
          <w:rFonts w:cs="Times New Roman"/>
          <w:highlight w:val="cyan"/>
        </w:rPr>
        <w:t>（6）在施工现场禁止大声喧哗吵闹、高声唱歌或敲击工具、餐具等。</w:t>
      </w:r>
    </w:p>
    <w:p>
      <w:pPr>
        <w:ind w:firstLine="480"/>
        <w:rPr>
          <w:rFonts w:cs="Times New Roman"/>
          <w:highlight w:val="cyan"/>
        </w:rPr>
      </w:pPr>
      <w:r>
        <w:rPr>
          <w:rFonts w:cs="Times New Roman"/>
          <w:highlight w:val="cyan"/>
        </w:rPr>
        <w:t>综上所述，拟建项目施工期产生的污染主要是噪声和扬尘，施工期间必须采取报告书中提出的污染防治措施。在采取污染物防治措施后，项目施工期产生的污染对项目周围环境影响不大，施工完成后，这些影响就会消失。</w:t>
      </w:r>
    </w:p>
    <w:p>
      <w:pPr>
        <w:ind w:firstLine="480"/>
        <w:rPr>
          <w:rFonts w:cs="Times New Roman"/>
          <w:highlight w:val="cyan"/>
        </w:rPr>
      </w:pPr>
      <w:r>
        <w:rPr>
          <w:rFonts w:cs="Times New Roman"/>
          <w:highlight w:val="cyan"/>
        </w:rPr>
        <w:t>3、施工期固废处置措施</w:t>
      </w:r>
    </w:p>
    <w:p>
      <w:pPr>
        <w:ind w:firstLine="480"/>
        <w:rPr>
          <w:rFonts w:cs="Times New Roman"/>
          <w:highlight w:val="cyan"/>
        </w:rPr>
      </w:pPr>
      <w:r>
        <w:rPr>
          <w:rFonts w:cs="Times New Roman"/>
          <w:highlight w:val="cyan"/>
        </w:rPr>
        <w:t>（1）新厂区施工营地必须设置专门场所暂存施工固废，送往指定的位置处置。</w:t>
      </w:r>
    </w:p>
    <w:p>
      <w:pPr>
        <w:ind w:firstLine="480"/>
        <w:rPr>
          <w:rFonts w:cs="Times New Roman"/>
          <w:highlight w:val="cyan"/>
        </w:rPr>
      </w:pPr>
      <w:r>
        <w:rPr>
          <w:rFonts w:cs="Times New Roman"/>
          <w:highlight w:val="cyan"/>
        </w:rPr>
        <w:t>（2）从收集到处理处置的过程，由经专门培训的人员操作或由专业人员指导进行，严禁在专门处理处置设施外随意混合、焚烧或处置。</w:t>
      </w:r>
    </w:p>
    <w:p>
      <w:pPr>
        <w:ind w:firstLine="480"/>
        <w:rPr>
          <w:rFonts w:cs="Times New Roman"/>
          <w:highlight w:val="cyan"/>
        </w:rPr>
      </w:pPr>
      <w:r>
        <w:rPr>
          <w:rFonts w:cs="Times New Roman"/>
          <w:highlight w:val="cyan"/>
        </w:rPr>
        <w:t>4、土地保护措施</w:t>
      </w:r>
    </w:p>
    <w:p>
      <w:pPr>
        <w:ind w:firstLine="480"/>
        <w:rPr>
          <w:rFonts w:cs="Times New Roman"/>
          <w:highlight w:val="cyan"/>
        </w:rPr>
      </w:pPr>
      <w:r>
        <w:rPr>
          <w:rFonts w:cs="Times New Roman"/>
          <w:highlight w:val="cyan"/>
        </w:rPr>
        <w:t>（1）临时占地必须选择在厂区规划范围内，施工结束后对临时用地，尽快恢复其原有生态功能。</w:t>
      </w:r>
    </w:p>
    <w:p>
      <w:pPr>
        <w:ind w:firstLine="480"/>
        <w:rPr>
          <w:rFonts w:cs="Times New Roman"/>
          <w:highlight w:val="cyan"/>
        </w:rPr>
      </w:pPr>
      <w:r>
        <w:rPr>
          <w:rFonts w:cs="Times New Roman"/>
          <w:highlight w:val="cyan"/>
        </w:rPr>
        <w:t>（2）严紧大量的施工垃圾乱堆乱放。</w:t>
      </w:r>
    </w:p>
    <w:p>
      <w:pPr>
        <w:ind w:firstLine="480"/>
        <w:rPr>
          <w:rFonts w:cs="Times New Roman"/>
          <w:highlight w:val="cyan"/>
        </w:rPr>
      </w:pPr>
      <w:r>
        <w:rPr>
          <w:rFonts w:cs="Times New Roman"/>
          <w:highlight w:val="cyan"/>
        </w:rPr>
        <w:t>（3）地面开挖的渣土及时回填，减少渣土堆放时间。</w:t>
      </w:r>
    </w:p>
    <w:p>
      <w:pPr>
        <w:ind w:firstLine="480"/>
        <w:rPr>
          <w:rFonts w:cs="Times New Roman"/>
          <w:highlight w:val="cyan"/>
        </w:rPr>
      </w:pPr>
      <w:r>
        <w:rPr>
          <w:rFonts w:cs="Times New Roman"/>
          <w:highlight w:val="cyan"/>
        </w:rPr>
        <w:t>（4）当雨季来临时提前做好防护工作，疏通厂区范围内雨水排水管路，防止雨水在厂区内堆积。</w:t>
      </w:r>
    </w:p>
    <w:p>
      <w:pPr>
        <w:ind w:firstLine="480"/>
        <w:rPr>
          <w:rFonts w:cs="Times New Roman"/>
          <w:highlight w:val="cyan"/>
        </w:rPr>
      </w:pPr>
      <w:r>
        <w:rPr>
          <w:rFonts w:cs="Times New Roman"/>
          <w:highlight w:val="cyan"/>
        </w:rPr>
        <w:t>4、退役管道封堵的相关防范措施</w:t>
      </w:r>
    </w:p>
    <w:p>
      <w:pPr>
        <w:ind w:firstLine="480"/>
        <w:rPr>
          <w:rFonts w:cs="Times New Roman"/>
          <w:highlight w:val="cyan"/>
        </w:rPr>
      </w:pPr>
      <w:r>
        <w:rPr>
          <w:rFonts w:cs="Times New Roman"/>
          <w:highlight w:val="cyan"/>
        </w:rPr>
        <w:t>（1）施工单位在对退役管道封堵施工前，应在附近居民区张贴施工公告，便于附近居民了解施工情况；</w:t>
      </w:r>
    </w:p>
    <w:p>
      <w:pPr>
        <w:ind w:firstLine="480"/>
        <w:rPr>
          <w:rFonts w:cs="Times New Roman"/>
          <w:highlight w:val="cyan"/>
        </w:rPr>
      </w:pPr>
      <w:r>
        <w:rPr>
          <w:rFonts w:cs="Times New Roman"/>
          <w:highlight w:val="cyan"/>
        </w:rPr>
        <w:t>（2）退役管道的封堵现场现场设置一辆消防车，消防人员在车内值班；</w:t>
      </w:r>
    </w:p>
    <w:p>
      <w:pPr>
        <w:ind w:firstLine="480"/>
        <w:rPr>
          <w:rFonts w:cs="Times New Roman"/>
          <w:highlight w:val="cyan"/>
        </w:rPr>
      </w:pPr>
      <w:r>
        <w:rPr>
          <w:rFonts w:cs="Times New Roman"/>
          <w:highlight w:val="cyan"/>
        </w:rPr>
        <w:t>（</w:t>
      </w:r>
      <w:r>
        <w:rPr>
          <w:rFonts w:hint="eastAsia" w:cs="Times New Roman"/>
          <w:highlight w:val="cyan"/>
        </w:rPr>
        <w:t>3</w:t>
      </w:r>
      <w:r>
        <w:rPr>
          <w:rFonts w:cs="Times New Roman"/>
          <w:highlight w:val="cyan"/>
        </w:rPr>
        <w:t>）改线段老管道在退役封堵前均先</w:t>
      </w:r>
      <w:r>
        <w:rPr>
          <w:rFonts w:hint="eastAsia" w:cs="Times New Roman"/>
          <w:highlight w:val="cyan"/>
        </w:rPr>
        <w:t>通入氮气进行置换</w:t>
      </w:r>
      <w:r>
        <w:rPr>
          <w:rFonts w:cs="Times New Roman"/>
          <w:highlight w:val="cyan"/>
        </w:rPr>
        <w:t>；</w:t>
      </w:r>
    </w:p>
    <w:p>
      <w:pPr>
        <w:ind w:firstLine="480"/>
        <w:rPr>
          <w:rFonts w:cs="Times New Roman"/>
          <w:highlight w:val="cyan"/>
        </w:rPr>
      </w:pPr>
      <w:r>
        <w:rPr>
          <w:rFonts w:cs="Times New Roman"/>
          <w:highlight w:val="cyan"/>
        </w:rPr>
        <w:t>（</w:t>
      </w:r>
      <w:r>
        <w:rPr>
          <w:rFonts w:hint="eastAsia" w:cs="Times New Roman"/>
          <w:highlight w:val="cyan"/>
        </w:rPr>
        <w:t>4</w:t>
      </w:r>
      <w:r>
        <w:rPr>
          <w:rFonts w:cs="Times New Roman"/>
          <w:highlight w:val="cyan"/>
        </w:rPr>
        <w:t>）退役管道封堵口位置选在城区外较空旷的地段，附近无河流，封堵口周围15米内无建筑物；</w:t>
      </w:r>
    </w:p>
    <w:p>
      <w:pPr>
        <w:ind w:firstLine="480"/>
        <w:rPr>
          <w:rFonts w:cs="Times New Roman"/>
          <w:highlight w:val="cyan"/>
        </w:rPr>
      </w:pPr>
      <w:r>
        <w:rPr>
          <w:rFonts w:cs="Times New Roman"/>
          <w:highlight w:val="cyan"/>
        </w:rPr>
        <w:t>（</w:t>
      </w:r>
      <w:r>
        <w:rPr>
          <w:rFonts w:hint="eastAsia" w:cs="Times New Roman"/>
          <w:highlight w:val="cyan"/>
        </w:rPr>
        <w:t>5</w:t>
      </w:r>
      <w:r>
        <w:rPr>
          <w:rFonts w:cs="Times New Roman"/>
          <w:highlight w:val="cyan"/>
        </w:rPr>
        <w:t>）退役管道封堵口100米内没有城市自来水管道、污水管网、雨水管道</w:t>
      </w:r>
      <w:r>
        <w:rPr>
          <w:rFonts w:hint="eastAsia" w:cs="Times New Roman"/>
          <w:highlight w:val="cyan"/>
        </w:rPr>
        <w:t>等。</w:t>
      </w:r>
    </w:p>
    <w:p>
      <w:pPr>
        <w:pStyle w:val="4"/>
        <w:spacing w:before="163"/>
        <w:rPr>
          <w:rFonts w:cs="Times New Roman" w:eastAsiaTheme="minorEastAsia"/>
          <w:highlight w:val="cyan"/>
        </w:rPr>
      </w:pPr>
      <w:bookmarkStart w:id="17" w:name="_Toc505620364"/>
      <w:bookmarkStart w:id="18" w:name="_Toc6509"/>
      <w:bookmarkStart w:id="19" w:name="_Toc17386414"/>
      <w:r>
        <w:rPr>
          <w:rFonts w:cs="Times New Roman" w:eastAsiaTheme="minorEastAsia"/>
          <w:highlight w:val="cyan"/>
        </w:rPr>
        <w:t>运营期环境影响</w:t>
      </w:r>
      <w:bookmarkEnd w:id="17"/>
      <w:r>
        <w:rPr>
          <w:rFonts w:cs="Times New Roman" w:eastAsiaTheme="minorEastAsia"/>
          <w:highlight w:val="cyan"/>
        </w:rPr>
        <w:t>分析与评价</w:t>
      </w:r>
      <w:bookmarkEnd w:id="18"/>
      <w:bookmarkEnd w:id="19"/>
    </w:p>
    <w:p>
      <w:pPr>
        <w:pStyle w:val="5"/>
        <w:rPr>
          <w:rFonts w:eastAsiaTheme="minorEastAsia"/>
          <w:highlight w:val="cyan"/>
        </w:rPr>
      </w:pPr>
      <w:bookmarkStart w:id="20" w:name="_Toc505620365"/>
      <w:bookmarkStart w:id="21" w:name="_Toc17386415"/>
      <w:r>
        <w:rPr>
          <w:rFonts w:eastAsiaTheme="minorEastAsia"/>
          <w:highlight w:val="cyan"/>
        </w:rPr>
        <w:t>运营期环境空气影响</w:t>
      </w:r>
      <w:bookmarkEnd w:id="20"/>
      <w:r>
        <w:rPr>
          <w:rFonts w:eastAsiaTheme="minorEastAsia"/>
          <w:highlight w:val="cyan"/>
        </w:rPr>
        <w:t>分析与评价</w:t>
      </w:r>
      <w:bookmarkEnd w:id="21"/>
    </w:p>
    <w:p>
      <w:pPr>
        <w:ind w:firstLine="480"/>
        <w:rPr>
          <w:rFonts w:cs="Times New Roman"/>
          <w:highlight w:val="cyan"/>
        </w:rPr>
      </w:pPr>
      <w:r>
        <w:rPr>
          <w:rFonts w:cs="Times New Roman"/>
          <w:highlight w:val="cyan"/>
        </w:rPr>
        <w:t>本工程管道</w:t>
      </w:r>
      <w:r>
        <w:rPr>
          <w:rFonts w:hint="eastAsia" w:cs="Times New Roman"/>
          <w:highlight w:val="cyan"/>
        </w:rPr>
        <w:t>改线后</w:t>
      </w:r>
      <w:r>
        <w:rPr>
          <w:rFonts w:cs="Times New Roman"/>
          <w:highlight w:val="cyan"/>
        </w:rPr>
        <w:t>运营期采用密闭输送工艺，正常情况下无废气产生</w:t>
      </w:r>
      <w:r>
        <w:rPr>
          <w:rFonts w:hint="eastAsia" w:cs="Times New Roman"/>
          <w:highlight w:val="cyan"/>
        </w:rPr>
        <w:t>，改线前后对周边大气环境影响基本无变化。</w:t>
      </w:r>
    </w:p>
    <w:p>
      <w:pPr>
        <w:pStyle w:val="5"/>
        <w:rPr>
          <w:rFonts w:eastAsiaTheme="minorEastAsia"/>
          <w:highlight w:val="cyan"/>
        </w:rPr>
      </w:pPr>
      <w:bookmarkStart w:id="22" w:name="_Toc505620390"/>
      <w:bookmarkStart w:id="23" w:name="_Toc17386416"/>
      <w:r>
        <w:rPr>
          <w:rFonts w:eastAsiaTheme="minorEastAsia"/>
          <w:highlight w:val="cyan"/>
        </w:rPr>
        <w:t>运营期地表水环境影响分析</w:t>
      </w:r>
      <w:bookmarkEnd w:id="22"/>
      <w:bookmarkEnd w:id="23"/>
    </w:p>
    <w:p>
      <w:pPr>
        <w:ind w:firstLine="480"/>
        <w:rPr>
          <w:rFonts w:cs="Times New Roman"/>
          <w:highlight w:val="cyan"/>
        </w:rPr>
      </w:pPr>
      <w:r>
        <w:rPr>
          <w:rFonts w:cs="Times New Roman"/>
          <w:highlight w:val="cyan"/>
        </w:rPr>
        <w:t>正常工况下，由于管线是全封闭输送工艺，且</w:t>
      </w:r>
      <w:r>
        <w:rPr>
          <w:rFonts w:hint="eastAsia" w:cs="Times New Roman"/>
          <w:highlight w:val="cyan"/>
        </w:rPr>
        <w:t>改线管线</w:t>
      </w:r>
      <w:r>
        <w:rPr>
          <w:rFonts w:cs="Times New Roman"/>
          <w:highlight w:val="cyan"/>
        </w:rPr>
        <w:t>不穿越河流，输送的</w:t>
      </w:r>
      <w:r>
        <w:rPr>
          <w:rFonts w:hint="eastAsia" w:cs="Times New Roman"/>
          <w:highlight w:val="cyan"/>
        </w:rPr>
        <w:t>天然气</w:t>
      </w:r>
      <w:r>
        <w:rPr>
          <w:rFonts w:cs="Times New Roman"/>
          <w:highlight w:val="cyan"/>
        </w:rPr>
        <w:t>不会与</w:t>
      </w:r>
      <w:r>
        <w:rPr>
          <w:rFonts w:hint="eastAsia" w:cs="Times New Roman"/>
          <w:highlight w:val="cyan"/>
        </w:rPr>
        <w:t>大气环境、土壤环境以及水环境</w:t>
      </w:r>
      <w:r>
        <w:rPr>
          <w:rFonts w:cs="Times New Roman"/>
          <w:highlight w:val="cyan"/>
        </w:rPr>
        <w:t>之间发生联系，采用防腐层和阴极保护联合方式，如不发生泄漏事故，正常运营期</w:t>
      </w:r>
      <w:r>
        <w:rPr>
          <w:rFonts w:hint="eastAsia" w:cs="Times New Roman"/>
          <w:highlight w:val="cyan"/>
        </w:rPr>
        <w:t>本项目无废水排放，</w:t>
      </w:r>
      <w:r>
        <w:rPr>
          <w:rFonts w:cs="Times New Roman"/>
          <w:highlight w:val="cyan"/>
        </w:rPr>
        <w:t>对周围河流不会造成影响，</w:t>
      </w:r>
      <w:r>
        <w:rPr>
          <w:rFonts w:hint="eastAsia" w:cs="Times New Roman"/>
          <w:highlight w:val="cyan"/>
        </w:rPr>
        <w:t>改线前后</w:t>
      </w:r>
      <w:r>
        <w:rPr>
          <w:rFonts w:cs="Times New Roman"/>
          <w:highlight w:val="cyan"/>
        </w:rPr>
        <w:t>对周边水环境基本无影响。</w:t>
      </w:r>
    </w:p>
    <w:p>
      <w:pPr>
        <w:pStyle w:val="5"/>
        <w:rPr>
          <w:rFonts w:eastAsiaTheme="minorEastAsia"/>
          <w:highlight w:val="cyan"/>
        </w:rPr>
      </w:pPr>
      <w:bookmarkStart w:id="24" w:name="_Toc505620391"/>
      <w:bookmarkStart w:id="25" w:name="_Toc17386417"/>
      <w:r>
        <w:rPr>
          <w:rFonts w:eastAsiaTheme="minorEastAsia"/>
          <w:highlight w:val="cyan"/>
        </w:rPr>
        <w:t>地下水环境影响分析</w:t>
      </w:r>
      <w:bookmarkEnd w:id="24"/>
      <w:bookmarkEnd w:id="25"/>
      <w:r>
        <w:rPr>
          <w:rFonts w:hint="eastAsia" w:eastAsiaTheme="minorEastAsia"/>
          <w:highlight w:val="cyan"/>
        </w:rPr>
        <w:t>与评价</w:t>
      </w:r>
    </w:p>
    <w:p>
      <w:pPr>
        <w:ind w:firstLine="480"/>
        <w:rPr>
          <w:highlight w:val="cyan"/>
        </w:rPr>
      </w:pPr>
      <w:bookmarkStart w:id="26" w:name="_Toc462925324"/>
      <w:bookmarkStart w:id="27" w:name="_Toc485600535"/>
      <w:bookmarkStart w:id="28" w:name="_Toc115093382"/>
      <w:r>
        <w:rPr>
          <w:rFonts w:hint="eastAsia"/>
          <w:highlight w:val="cyan"/>
        </w:rPr>
        <w:t>1、地下水环境影响识别</w:t>
      </w:r>
      <w:bookmarkEnd w:id="26"/>
      <w:bookmarkEnd w:id="27"/>
    </w:p>
    <w:p>
      <w:pPr>
        <w:autoSpaceDE w:val="0"/>
        <w:autoSpaceDN w:val="0"/>
        <w:adjustRightInd w:val="0"/>
        <w:snapToGrid w:val="0"/>
        <w:ind w:firstLine="480"/>
        <w:rPr>
          <w:bCs/>
          <w:highlight w:val="cyan"/>
        </w:rPr>
      </w:pPr>
      <w:r>
        <w:rPr>
          <w:rFonts w:hint="eastAsia"/>
          <w:bCs/>
          <w:highlight w:val="cyan"/>
        </w:rPr>
        <w:t>（一）地下水环境影响途径识别</w:t>
      </w:r>
    </w:p>
    <w:p>
      <w:pPr>
        <w:autoSpaceDE w:val="0"/>
        <w:autoSpaceDN w:val="0"/>
        <w:adjustRightInd w:val="0"/>
        <w:snapToGrid w:val="0"/>
        <w:ind w:firstLine="480"/>
        <w:rPr>
          <w:bCs/>
          <w:highlight w:val="cyan"/>
        </w:rPr>
      </w:pPr>
      <w:r>
        <w:rPr>
          <w:rFonts w:hint="eastAsia"/>
          <w:bCs/>
          <w:highlight w:val="cyan"/>
        </w:rPr>
        <w:t>（1）</w:t>
      </w:r>
      <w:r>
        <w:rPr>
          <w:bCs/>
          <w:highlight w:val="cyan"/>
        </w:rPr>
        <w:t>可能造成地下水污染的装置和设施</w:t>
      </w:r>
    </w:p>
    <w:p>
      <w:pPr>
        <w:autoSpaceDE w:val="0"/>
        <w:autoSpaceDN w:val="0"/>
        <w:adjustRightInd w:val="0"/>
        <w:snapToGrid w:val="0"/>
        <w:ind w:firstLine="480"/>
        <w:rPr>
          <w:bCs/>
          <w:highlight w:val="cyan"/>
        </w:rPr>
      </w:pPr>
      <w:r>
        <w:rPr>
          <w:rFonts w:hint="eastAsia"/>
          <w:bCs/>
          <w:highlight w:val="cyan"/>
        </w:rPr>
        <w:t>本项目施工期对地下水的影响主要来自施工过程中施工废水、人员生活污水、管道试压水的影响，营运期对地下水的影响主要来自</w:t>
      </w:r>
      <w:r>
        <w:rPr>
          <w:rFonts w:hint="eastAsia"/>
          <w:highlight w:val="cyan"/>
        </w:rPr>
        <w:t>管道非正常工况且造成燃爆事故时产生的消防废水。</w:t>
      </w:r>
    </w:p>
    <w:p>
      <w:pPr>
        <w:autoSpaceDE w:val="0"/>
        <w:autoSpaceDN w:val="0"/>
        <w:adjustRightInd w:val="0"/>
        <w:snapToGrid w:val="0"/>
        <w:ind w:firstLine="480"/>
        <w:rPr>
          <w:highlight w:val="cyan"/>
        </w:rPr>
      </w:pPr>
      <w:r>
        <w:rPr>
          <w:rFonts w:hint="eastAsia"/>
          <w:highlight w:val="cyan"/>
        </w:rPr>
        <w:t>（2）</w:t>
      </w:r>
      <w:r>
        <w:rPr>
          <w:bCs/>
          <w:highlight w:val="cyan"/>
        </w:rPr>
        <w:t>运营期非正常工况下对地下水的影响途径</w:t>
      </w:r>
    </w:p>
    <w:p>
      <w:pPr>
        <w:autoSpaceDE w:val="0"/>
        <w:autoSpaceDN w:val="0"/>
        <w:adjustRightInd w:val="0"/>
        <w:snapToGrid w:val="0"/>
        <w:ind w:firstLine="480"/>
        <w:rPr>
          <w:highlight w:val="cyan"/>
        </w:rPr>
      </w:pPr>
      <w:r>
        <w:rPr>
          <w:bCs/>
          <w:highlight w:val="cyan"/>
        </w:rPr>
        <w:t>火灾等事故用到的消防废水收集导排不及时</w:t>
      </w:r>
      <w:r>
        <w:rPr>
          <w:highlight w:val="cyan"/>
        </w:rPr>
        <w:t>，散落到地面上，下渗污染地下水。事故状态下，在无保护措施的情况下，地下水将受到污染。</w:t>
      </w:r>
    </w:p>
    <w:p>
      <w:pPr>
        <w:autoSpaceDE w:val="0"/>
        <w:autoSpaceDN w:val="0"/>
        <w:adjustRightInd w:val="0"/>
        <w:snapToGrid w:val="0"/>
        <w:ind w:firstLine="480"/>
        <w:rPr>
          <w:highlight w:val="cyan"/>
        </w:rPr>
      </w:pPr>
      <w:r>
        <w:rPr>
          <w:rFonts w:hint="eastAsia"/>
          <w:highlight w:val="cyan"/>
        </w:rPr>
        <w:t>（3）</w:t>
      </w:r>
      <w:r>
        <w:rPr>
          <w:bCs/>
          <w:highlight w:val="cyan"/>
        </w:rPr>
        <w:t>服务期满后对地下水的影响途径</w:t>
      </w:r>
    </w:p>
    <w:p>
      <w:pPr>
        <w:autoSpaceDE w:val="0"/>
        <w:autoSpaceDN w:val="0"/>
        <w:adjustRightInd w:val="0"/>
        <w:snapToGrid w:val="0"/>
        <w:ind w:firstLine="480"/>
        <w:rPr>
          <w:highlight w:val="cyan"/>
        </w:rPr>
      </w:pPr>
      <w:r>
        <w:rPr>
          <w:bCs/>
          <w:highlight w:val="cyan"/>
        </w:rPr>
        <w:t>项目服务期满后</w:t>
      </w:r>
      <w:r>
        <w:rPr>
          <w:highlight w:val="cyan"/>
        </w:rPr>
        <w:t>，不再进行生产，无废水和固体废物产生，对地下水的污染途径主要是长期生产可能导致场地土壤受到污染，污染物随雨水淋溶下渗污染地下水。</w:t>
      </w:r>
    </w:p>
    <w:p>
      <w:pPr>
        <w:autoSpaceDE w:val="0"/>
        <w:autoSpaceDN w:val="0"/>
        <w:adjustRightInd w:val="0"/>
        <w:snapToGrid w:val="0"/>
        <w:ind w:firstLine="480"/>
        <w:rPr>
          <w:bCs/>
          <w:highlight w:val="cyan"/>
        </w:rPr>
      </w:pPr>
      <w:r>
        <w:rPr>
          <w:rFonts w:hint="eastAsia"/>
          <w:bCs/>
          <w:highlight w:val="cyan"/>
        </w:rPr>
        <w:t>（二）地下水环境影响因子识别</w:t>
      </w:r>
    </w:p>
    <w:p>
      <w:pPr>
        <w:ind w:firstLine="480"/>
        <w:rPr>
          <w:highlight w:val="cyan"/>
        </w:rPr>
      </w:pPr>
      <w:r>
        <w:rPr>
          <w:highlight w:val="cyan"/>
        </w:rPr>
        <w:t>根据本项目排污特征，可能对地下水造成影响的因子见表</w:t>
      </w:r>
      <w:r>
        <w:rPr>
          <w:rFonts w:hint="eastAsia"/>
          <w:highlight w:val="cyan"/>
        </w:rPr>
        <w:t>4.2</w:t>
      </w:r>
      <w:r>
        <w:rPr>
          <w:highlight w:val="cyan"/>
        </w:rPr>
        <w:t>-1。</w:t>
      </w:r>
    </w:p>
    <w:p>
      <w:pPr>
        <w:autoSpaceDE w:val="0"/>
        <w:autoSpaceDN w:val="0"/>
        <w:adjustRightInd w:val="0"/>
        <w:snapToGrid w:val="0"/>
        <w:ind w:firstLine="482"/>
        <w:jc w:val="center"/>
        <w:rPr>
          <w:b/>
          <w:bCs/>
          <w:highlight w:val="cyan"/>
        </w:rPr>
      </w:pPr>
      <w:r>
        <w:rPr>
          <w:b/>
          <w:bCs/>
          <w:highlight w:val="cyan"/>
        </w:rPr>
        <w:t>表</w:t>
      </w:r>
      <w:r>
        <w:rPr>
          <w:rFonts w:hint="eastAsia"/>
          <w:b/>
          <w:bCs/>
          <w:highlight w:val="cyan"/>
        </w:rPr>
        <w:t>4.2</w:t>
      </w:r>
      <w:r>
        <w:rPr>
          <w:b/>
          <w:bCs/>
          <w:highlight w:val="cyan"/>
        </w:rPr>
        <w:t>-1  地下水环境影响因子识别</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705"/>
        <w:gridCol w:w="2494"/>
        <w:gridCol w:w="3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7" w:type="pct"/>
            <w:tcBorders>
              <w:tl2br w:val="nil"/>
              <w:tr2bl w:val="nil"/>
            </w:tcBorders>
            <w:vAlign w:val="center"/>
          </w:tcPr>
          <w:p>
            <w:pPr>
              <w:autoSpaceDE w:val="0"/>
              <w:autoSpaceDN w:val="0"/>
              <w:adjustRightInd w:val="0"/>
              <w:ind w:firstLine="0" w:firstLineChars="0"/>
              <w:jc w:val="center"/>
              <w:rPr>
                <w:b/>
                <w:sz w:val="21"/>
                <w:szCs w:val="21"/>
                <w:highlight w:val="cyan"/>
              </w:rPr>
            </w:pPr>
            <w:r>
              <w:rPr>
                <w:b/>
                <w:sz w:val="21"/>
                <w:szCs w:val="21"/>
                <w:highlight w:val="cyan"/>
              </w:rPr>
              <w:t>序号</w:t>
            </w:r>
          </w:p>
        </w:tc>
        <w:tc>
          <w:tcPr>
            <w:tcW w:w="1000" w:type="pct"/>
            <w:tcBorders>
              <w:tl2br w:val="nil"/>
              <w:tr2bl w:val="nil"/>
            </w:tcBorders>
            <w:vAlign w:val="center"/>
          </w:tcPr>
          <w:p>
            <w:pPr>
              <w:autoSpaceDE w:val="0"/>
              <w:autoSpaceDN w:val="0"/>
              <w:adjustRightInd w:val="0"/>
              <w:ind w:firstLine="0" w:firstLineChars="0"/>
              <w:jc w:val="center"/>
              <w:rPr>
                <w:b/>
                <w:sz w:val="21"/>
                <w:szCs w:val="21"/>
                <w:highlight w:val="cyan"/>
              </w:rPr>
            </w:pPr>
            <w:r>
              <w:rPr>
                <w:b/>
                <w:sz w:val="21"/>
                <w:szCs w:val="21"/>
                <w:highlight w:val="cyan"/>
              </w:rPr>
              <w:t>设施名称</w:t>
            </w:r>
          </w:p>
        </w:tc>
        <w:tc>
          <w:tcPr>
            <w:tcW w:w="1463" w:type="pct"/>
            <w:tcBorders>
              <w:tl2br w:val="nil"/>
              <w:tr2bl w:val="nil"/>
            </w:tcBorders>
            <w:vAlign w:val="center"/>
          </w:tcPr>
          <w:p>
            <w:pPr>
              <w:autoSpaceDE w:val="0"/>
              <w:autoSpaceDN w:val="0"/>
              <w:adjustRightInd w:val="0"/>
              <w:ind w:firstLine="0" w:firstLineChars="0"/>
              <w:jc w:val="center"/>
              <w:rPr>
                <w:b/>
                <w:sz w:val="21"/>
                <w:szCs w:val="21"/>
                <w:highlight w:val="cyan"/>
              </w:rPr>
            </w:pPr>
            <w:r>
              <w:rPr>
                <w:b/>
                <w:sz w:val="21"/>
                <w:szCs w:val="21"/>
                <w:highlight w:val="cyan"/>
              </w:rPr>
              <w:t>储运的主要物质</w:t>
            </w:r>
          </w:p>
        </w:tc>
        <w:tc>
          <w:tcPr>
            <w:tcW w:w="2068" w:type="pct"/>
            <w:tcBorders>
              <w:tl2br w:val="nil"/>
              <w:tr2bl w:val="nil"/>
            </w:tcBorders>
            <w:vAlign w:val="center"/>
          </w:tcPr>
          <w:p>
            <w:pPr>
              <w:autoSpaceDE w:val="0"/>
              <w:autoSpaceDN w:val="0"/>
              <w:adjustRightInd w:val="0"/>
              <w:ind w:firstLine="0" w:firstLineChars="0"/>
              <w:jc w:val="center"/>
              <w:rPr>
                <w:b/>
                <w:sz w:val="21"/>
                <w:szCs w:val="21"/>
                <w:highlight w:val="cyan"/>
              </w:rPr>
            </w:pPr>
            <w:r>
              <w:rPr>
                <w:b/>
                <w:sz w:val="21"/>
                <w:szCs w:val="21"/>
                <w:highlight w:val="cyan"/>
              </w:rPr>
              <w:t>评价因子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7" w:type="pct"/>
            <w:tcBorders>
              <w:tl2br w:val="nil"/>
              <w:tr2bl w:val="nil"/>
            </w:tcBorders>
            <w:vAlign w:val="center"/>
          </w:tcPr>
          <w:p>
            <w:pPr>
              <w:autoSpaceDE w:val="0"/>
              <w:autoSpaceDN w:val="0"/>
              <w:adjustRightInd w:val="0"/>
              <w:ind w:firstLine="0" w:firstLineChars="0"/>
              <w:jc w:val="center"/>
              <w:rPr>
                <w:bCs/>
                <w:sz w:val="21"/>
                <w:szCs w:val="21"/>
                <w:highlight w:val="cyan"/>
              </w:rPr>
            </w:pPr>
            <w:r>
              <w:rPr>
                <w:bCs/>
                <w:sz w:val="21"/>
                <w:szCs w:val="21"/>
                <w:highlight w:val="cyan"/>
              </w:rPr>
              <w:t>1</w:t>
            </w:r>
          </w:p>
        </w:tc>
        <w:tc>
          <w:tcPr>
            <w:tcW w:w="1000" w:type="pct"/>
            <w:tcBorders>
              <w:tl2br w:val="nil"/>
              <w:tr2bl w:val="nil"/>
            </w:tcBorders>
            <w:vAlign w:val="center"/>
          </w:tcPr>
          <w:p>
            <w:pPr>
              <w:autoSpaceDE w:val="0"/>
              <w:autoSpaceDN w:val="0"/>
              <w:adjustRightInd w:val="0"/>
              <w:ind w:firstLine="0" w:firstLineChars="0"/>
              <w:jc w:val="center"/>
              <w:rPr>
                <w:bCs/>
                <w:sz w:val="21"/>
                <w:szCs w:val="21"/>
                <w:highlight w:val="cyan"/>
              </w:rPr>
            </w:pPr>
            <w:r>
              <w:rPr>
                <w:rFonts w:hint="eastAsia"/>
                <w:bCs/>
                <w:sz w:val="21"/>
                <w:szCs w:val="21"/>
                <w:highlight w:val="cyan"/>
              </w:rPr>
              <w:t>供气管道</w:t>
            </w:r>
          </w:p>
        </w:tc>
        <w:tc>
          <w:tcPr>
            <w:tcW w:w="1463" w:type="pct"/>
            <w:tcBorders>
              <w:tl2br w:val="nil"/>
              <w:tr2bl w:val="nil"/>
            </w:tcBorders>
            <w:vAlign w:val="center"/>
          </w:tcPr>
          <w:p>
            <w:pPr>
              <w:autoSpaceDE w:val="0"/>
              <w:autoSpaceDN w:val="0"/>
              <w:adjustRightInd w:val="0"/>
              <w:ind w:firstLine="0" w:firstLineChars="0"/>
              <w:jc w:val="center"/>
              <w:rPr>
                <w:bCs/>
                <w:sz w:val="21"/>
                <w:szCs w:val="21"/>
                <w:highlight w:val="cyan"/>
              </w:rPr>
            </w:pPr>
            <w:r>
              <w:rPr>
                <w:rFonts w:hint="eastAsia"/>
                <w:bCs/>
                <w:sz w:val="21"/>
                <w:szCs w:val="21"/>
                <w:highlight w:val="cyan"/>
              </w:rPr>
              <w:t>天然气</w:t>
            </w:r>
          </w:p>
        </w:tc>
        <w:tc>
          <w:tcPr>
            <w:tcW w:w="2068" w:type="pct"/>
            <w:tcBorders>
              <w:tl2br w:val="nil"/>
              <w:tr2bl w:val="nil"/>
            </w:tcBorders>
            <w:vAlign w:val="center"/>
          </w:tcPr>
          <w:p>
            <w:pPr>
              <w:autoSpaceDE w:val="0"/>
              <w:autoSpaceDN w:val="0"/>
              <w:adjustRightInd w:val="0"/>
              <w:spacing w:line="240" w:lineRule="auto"/>
              <w:ind w:firstLine="0" w:firstLineChars="0"/>
              <w:jc w:val="center"/>
              <w:rPr>
                <w:bCs/>
                <w:sz w:val="21"/>
                <w:szCs w:val="21"/>
                <w:highlight w:val="cyan"/>
              </w:rPr>
            </w:pPr>
            <w:r>
              <w:rPr>
                <w:rFonts w:hint="eastAsia"/>
                <w:bCs/>
                <w:sz w:val="21"/>
                <w:szCs w:val="21"/>
                <w:highlight w:val="cyan"/>
              </w:rPr>
              <w:t>pH、总硬度、溶解性总固体、高锰酸盐指数、氨氮、硝酸盐、亚硝酸盐、硫酸盐、氰化物、氟化物、氯化物、挥发酚、石油类、铜、锌、砷、汞、镉、六价铬、铅</w:t>
            </w:r>
          </w:p>
        </w:tc>
      </w:tr>
    </w:tbl>
    <w:p>
      <w:pPr>
        <w:ind w:firstLine="480"/>
        <w:rPr>
          <w:highlight w:val="cyan"/>
        </w:rPr>
      </w:pPr>
      <w:r>
        <w:rPr>
          <w:rFonts w:hint="eastAsia"/>
          <w:highlight w:val="cyan"/>
        </w:rPr>
        <w:t>2、地下水环境影响评价等级判定</w:t>
      </w:r>
    </w:p>
    <w:p>
      <w:pPr>
        <w:autoSpaceDE w:val="0"/>
        <w:autoSpaceDN w:val="0"/>
        <w:adjustRightInd w:val="0"/>
        <w:snapToGrid w:val="0"/>
        <w:ind w:firstLine="480"/>
        <w:rPr>
          <w:bCs/>
          <w:highlight w:val="cyan"/>
        </w:rPr>
      </w:pPr>
      <w:r>
        <w:rPr>
          <w:rFonts w:hint="eastAsia"/>
          <w:bCs/>
          <w:highlight w:val="cyan"/>
        </w:rPr>
        <w:t>（1）项目类别确定</w:t>
      </w:r>
    </w:p>
    <w:p>
      <w:pPr>
        <w:ind w:firstLine="480"/>
        <w:rPr>
          <w:rFonts w:cs="Times New Roman"/>
          <w:szCs w:val="24"/>
          <w:highlight w:val="cyan"/>
        </w:rPr>
      </w:pPr>
      <w:r>
        <w:rPr>
          <w:rFonts w:cs="Times New Roman"/>
          <w:szCs w:val="24"/>
          <w:highlight w:val="cyan"/>
        </w:rPr>
        <w:t>根据《环境影响评价技术导则－地下水环境》</w:t>
      </w:r>
      <w:r>
        <w:rPr>
          <w:rFonts w:hint="eastAsia" w:cs="Times New Roman"/>
          <w:szCs w:val="24"/>
          <w:highlight w:val="cyan"/>
        </w:rPr>
        <w:t>（</w:t>
      </w:r>
      <w:r>
        <w:rPr>
          <w:rFonts w:cs="Times New Roman"/>
          <w:szCs w:val="24"/>
          <w:highlight w:val="cyan"/>
        </w:rPr>
        <w:t>HJ 610-2016</w:t>
      </w:r>
      <w:r>
        <w:rPr>
          <w:rFonts w:hint="eastAsia" w:cs="Times New Roman"/>
          <w:szCs w:val="24"/>
          <w:highlight w:val="cyan"/>
        </w:rPr>
        <w:t>）</w:t>
      </w:r>
      <w:r>
        <w:rPr>
          <w:rFonts w:cs="Times New Roman"/>
          <w:szCs w:val="24"/>
          <w:highlight w:val="cyan"/>
        </w:rPr>
        <w:t>附录A，本项目属于“F石油、天然气—41、石油、天然气、成品油管线”</w:t>
      </w:r>
      <w:r>
        <w:rPr>
          <w:rFonts w:hint="eastAsia" w:cs="Times New Roman"/>
          <w:szCs w:val="24"/>
          <w:highlight w:val="cyan"/>
        </w:rPr>
        <w:t>中“涉及环境敏感区的”，</w:t>
      </w:r>
      <w:r>
        <w:rPr>
          <w:rFonts w:cs="Times New Roman"/>
          <w:szCs w:val="24"/>
          <w:highlight w:val="cyan"/>
        </w:rPr>
        <w:t>地下水环境影响评价项目类别为Ⅲ类。</w:t>
      </w:r>
    </w:p>
    <w:p>
      <w:pPr>
        <w:autoSpaceDE w:val="0"/>
        <w:autoSpaceDN w:val="0"/>
        <w:adjustRightInd w:val="0"/>
        <w:snapToGrid w:val="0"/>
        <w:ind w:firstLine="480"/>
        <w:rPr>
          <w:bCs/>
          <w:highlight w:val="cyan"/>
        </w:rPr>
      </w:pPr>
      <w:r>
        <w:rPr>
          <w:rFonts w:hint="eastAsia"/>
          <w:bCs/>
          <w:highlight w:val="cyan"/>
        </w:rPr>
        <w:t>（2）地下水环境敏感程度</w:t>
      </w:r>
    </w:p>
    <w:p>
      <w:pPr>
        <w:ind w:firstLine="480"/>
        <w:rPr>
          <w:rFonts w:cs="Times New Roman"/>
          <w:szCs w:val="24"/>
          <w:highlight w:val="cyan"/>
        </w:rPr>
      </w:pPr>
      <w:r>
        <w:rPr>
          <w:rFonts w:cs="Times New Roman"/>
          <w:szCs w:val="24"/>
          <w:highlight w:val="cyan"/>
        </w:rPr>
        <w:t>建设项目的地下水环境敏感程度可分为敏感、较敏感、不敏感三级，分级原则见下表。</w:t>
      </w:r>
    </w:p>
    <w:p>
      <w:pPr>
        <w:ind w:firstLine="482"/>
        <w:jc w:val="center"/>
        <w:rPr>
          <w:b/>
          <w:bCs/>
        </w:rPr>
      </w:pPr>
      <w:r>
        <w:rPr>
          <w:b/>
          <w:bCs/>
        </w:rPr>
        <w:t>表4.2-</w:t>
      </w:r>
      <w:r>
        <w:rPr>
          <w:rFonts w:hint="eastAsia"/>
          <w:b/>
          <w:bCs/>
        </w:rPr>
        <w:t>2</w:t>
      </w:r>
      <w:r>
        <w:rPr>
          <w:b/>
          <w:bCs/>
        </w:rPr>
        <w:t xml:space="preserve">  地下水环境敏感程度分级</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9" w:type="dxa"/>
            <w:tcBorders>
              <w:tl2br w:val="nil"/>
              <w:tr2bl w:val="nil"/>
            </w:tcBorders>
            <w:vAlign w:val="center"/>
          </w:tcPr>
          <w:p>
            <w:pPr>
              <w:spacing w:line="240" w:lineRule="auto"/>
              <w:ind w:firstLine="0" w:firstLineChars="0"/>
              <w:jc w:val="center"/>
              <w:rPr>
                <w:rFonts w:cs="Times New Roman"/>
                <w:sz w:val="18"/>
                <w:szCs w:val="18"/>
              </w:rPr>
            </w:pPr>
            <w:bookmarkStart w:id="29" w:name="_Toc505620392"/>
            <w:r>
              <w:rPr>
                <w:rFonts w:cs="Times New Roman"/>
                <w:sz w:val="18"/>
                <w:szCs w:val="18"/>
              </w:rPr>
              <w:t>分级</w:t>
            </w:r>
            <w:bookmarkEnd w:id="29"/>
          </w:p>
        </w:tc>
        <w:tc>
          <w:tcPr>
            <w:tcW w:w="7591" w:type="dxa"/>
            <w:tcBorders>
              <w:tl2br w:val="nil"/>
              <w:tr2bl w:val="nil"/>
            </w:tcBorders>
            <w:vAlign w:val="center"/>
          </w:tcPr>
          <w:p>
            <w:pPr>
              <w:spacing w:line="240" w:lineRule="auto"/>
              <w:ind w:firstLine="0" w:firstLineChars="0"/>
              <w:jc w:val="center"/>
              <w:rPr>
                <w:rFonts w:cs="Times New Roman"/>
                <w:sz w:val="18"/>
                <w:szCs w:val="18"/>
              </w:rPr>
            </w:pPr>
            <w:bookmarkStart w:id="30" w:name="_Toc505620393"/>
            <w:r>
              <w:rPr>
                <w:rFonts w:cs="Times New Roman"/>
                <w:sz w:val="18"/>
                <w:szCs w:val="18"/>
              </w:rPr>
              <w:t>项目场地的地下水环境敏感特征</w:t>
            </w:r>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9" w:type="dxa"/>
            <w:tcBorders>
              <w:tl2br w:val="nil"/>
              <w:tr2bl w:val="nil"/>
            </w:tcBorders>
            <w:vAlign w:val="center"/>
          </w:tcPr>
          <w:p>
            <w:pPr>
              <w:spacing w:line="240" w:lineRule="auto"/>
              <w:ind w:firstLine="0" w:firstLineChars="0"/>
              <w:jc w:val="center"/>
              <w:rPr>
                <w:rFonts w:cs="Times New Roman"/>
                <w:sz w:val="18"/>
                <w:szCs w:val="18"/>
              </w:rPr>
            </w:pPr>
            <w:bookmarkStart w:id="31" w:name="_Toc505620394"/>
            <w:r>
              <w:rPr>
                <w:rFonts w:cs="Times New Roman"/>
                <w:sz w:val="18"/>
                <w:szCs w:val="18"/>
              </w:rPr>
              <w:t>敏感</w:t>
            </w:r>
            <w:bookmarkEnd w:id="31"/>
          </w:p>
        </w:tc>
        <w:tc>
          <w:tcPr>
            <w:tcW w:w="7591" w:type="dxa"/>
            <w:tcBorders>
              <w:tl2br w:val="nil"/>
              <w:tr2bl w:val="nil"/>
            </w:tcBorders>
            <w:vAlign w:val="center"/>
          </w:tcPr>
          <w:p>
            <w:pPr>
              <w:spacing w:line="240" w:lineRule="auto"/>
              <w:ind w:firstLine="0" w:firstLineChars="0"/>
              <w:rPr>
                <w:rFonts w:cs="Times New Roman"/>
                <w:sz w:val="18"/>
                <w:szCs w:val="18"/>
              </w:rPr>
            </w:pPr>
            <w:bookmarkStart w:id="32" w:name="_Toc505620395"/>
            <w:r>
              <w:rPr>
                <w:rFonts w:cs="Times New Roman"/>
                <w:sz w:val="18"/>
                <w:szCs w:val="18"/>
              </w:rPr>
              <w:t>集中式饮用水水源地（包括己建成的在用、备用、应急水源地，在建和规划的水源地）准保护区；除集中式饮用水水源地以外的国家或地方政府设定的与地下水环境相关的其它保护区，如热水、矿泉水、温泉等特殊地下水资源保护区。</w:t>
            </w:r>
            <w:bookmarkEnd w:id="3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9" w:type="dxa"/>
            <w:tcBorders>
              <w:tl2br w:val="nil"/>
              <w:tr2bl w:val="nil"/>
            </w:tcBorders>
            <w:vAlign w:val="center"/>
          </w:tcPr>
          <w:p>
            <w:pPr>
              <w:spacing w:line="240" w:lineRule="auto"/>
              <w:ind w:firstLine="0" w:firstLineChars="0"/>
              <w:jc w:val="center"/>
              <w:rPr>
                <w:rFonts w:cs="Times New Roman"/>
                <w:sz w:val="18"/>
                <w:szCs w:val="18"/>
              </w:rPr>
            </w:pPr>
            <w:bookmarkStart w:id="33" w:name="_Toc505620396"/>
            <w:r>
              <w:rPr>
                <w:rFonts w:cs="Times New Roman"/>
                <w:sz w:val="18"/>
                <w:szCs w:val="18"/>
              </w:rPr>
              <w:t>较敏感</w:t>
            </w:r>
            <w:bookmarkEnd w:id="33"/>
          </w:p>
        </w:tc>
        <w:tc>
          <w:tcPr>
            <w:tcW w:w="7591" w:type="dxa"/>
            <w:tcBorders>
              <w:tl2br w:val="nil"/>
              <w:tr2bl w:val="nil"/>
            </w:tcBorders>
            <w:vAlign w:val="center"/>
          </w:tcPr>
          <w:p>
            <w:pPr>
              <w:spacing w:line="240" w:lineRule="auto"/>
              <w:ind w:firstLine="0" w:firstLineChars="0"/>
              <w:rPr>
                <w:rFonts w:cs="Times New Roman"/>
                <w:sz w:val="18"/>
                <w:szCs w:val="18"/>
              </w:rPr>
            </w:pPr>
            <w:bookmarkStart w:id="34" w:name="_Toc505620397"/>
            <w:r>
              <w:rPr>
                <w:rFonts w:cs="Times New Roman"/>
                <w:sz w:val="18"/>
                <w:szCs w:val="18"/>
              </w:rPr>
              <w:t>集中式饮用水水源地（包括己建成的在用、备用、应急水源地，在建和规划的水源地）准保护区以外的补给径流区；未划定准保护区的集中式饮用水水源，其保护区以外的补给径流区；分散式饮用水源地；特殊地下水资源（如矿泉水、温泉等）保护区以外的分布区等其他未列入上述敏感分级的环境敏感区。</w:t>
            </w:r>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9" w:type="dxa"/>
            <w:tcBorders>
              <w:tl2br w:val="nil"/>
              <w:tr2bl w:val="nil"/>
            </w:tcBorders>
            <w:vAlign w:val="center"/>
          </w:tcPr>
          <w:p>
            <w:pPr>
              <w:spacing w:line="240" w:lineRule="auto"/>
              <w:ind w:firstLine="0" w:firstLineChars="0"/>
              <w:jc w:val="center"/>
              <w:rPr>
                <w:rFonts w:cs="Times New Roman"/>
                <w:sz w:val="18"/>
                <w:szCs w:val="18"/>
              </w:rPr>
            </w:pPr>
            <w:bookmarkStart w:id="35" w:name="_Toc505620398"/>
            <w:r>
              <w:rPr>
                <w:rFonts w:cs="Times New Roman"/>
                <w:sz w:val="18"/>
                <w:szCs w:val="18"/>
              </w:rPr>
              <w:t>不敏感</w:t>
            </w:r>
            <w:bookmarkEnd w:id="35"/>
          </w:p>
        </w:tc>
        <w:tc>
          <w:tcPr>
            <w:tcW w:w="7591" w:type="dxa"/>
            <w:tcBorders>
              <w:tl2br w:val="nil"/>
              <w:tr2bl w:val="nil"/>
            </w:tcBorders>
            <w:vAlign w:val="center"/>
          </w:tcPr>
          <w:p>
            <w:pPr>
              <w:spacing w:line="240" w:lineRule="auto"/>
              <w:ind w:firstLine="0" w:firstLineChars="0"/>
              <w:jc w:val="center"/>
              <w:rPr>
                <w:rFonts w:cs="Times New Roman"/>
                <w:sz w:val="18"/>
                <w:szCs w:val="18"/>
              </w:rPr>
            </w:pPr>
            <w:bookmarkStart w:id="36" w:name="_Toc505620399"/>
            <w:r>
              <w:rPr>
                <w:rFonts w:cs="Times New Roman"/>
                <w:sz w:val="18"/>
                <w:szCs w:val="18"/>
              </w:rPr>
              <w:t>上述地区之外的其它地区。</w:t>
            </w:r>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460" w:type="dxa"/>
            <w:gridSpan w:val="2"/>
            <w:tcBorders>
              <w:tl2br w:val="nil"/>
              <w:tr2bl w:val="nil"/>
            </w:tcBorders>
            <w:vAlign w:val="center"/>
          </w:tcPr>
          <w:p>
            <w:pPr>
              <w:spacing w:line="240" w:lineRule="auto"/>
              <w:ind w:firstLine="0" w:firstLineChars="0"/>
              <w:jc w:val="center"/>
              <w:rPr>
                <w:rFonts w:cs="Times New Roman"/>
                <w:sz w:val="18"/>
                <w:szCs w:val="18"/>
              </w:rPr>
            </w:pPr>
            <w:bookmarkStart w:id="37" w:name="_Toc505620400"/>
            <w:r>
              <w:rPr>
                <w:rFonts w:cs="Times New Roman"/>
                <w:sz w:val="18"/>
                <w:szCs w:val="18"/>
              </w:rPr>
              <w:t>注： “环境敏感区”是指《建设项目环境影响评价分类管理名录》中所界定的涉及地下水的环境敏感区。</w:t>
            </w:r>
            <w:bookmarkEnd w:id="37"/>
          </w:p>
        </w:tc>
      </w:tr>
    </w:tbl>
    <w:p>
      <w:pPr>
        <w:ind w:firstLine="480"/>
        <w:rPr>
          <w:b/>
          <w:szCs w:val="24"/>
        </w:rPr>
      </w:pPr>
      <w:r>
        <w:rPr>
          <w:rFonts w:cs="Times New Roman"/>
          <w:szCs w:val="24"/>
        </w:rPr>
        <w:t>根据搜集资料和现场实地调查，</w:t>
      </w:r>
      <w:r>
        <w:rPr>
          <w:szCs w:val="24"/>
        </w:rPr>
        <w:t>项目不在集中式饮用水水源地准保护区及以外的补给径流区，附近也无未划定准保护区的集中式饮用水水源，项目及附近居民生活用水来源均为自来水厂供水管网供应的自来水，附近村庄无自备饮用水井，因此不属于分散式居民饮用水源。综上所述，项目所处的地下水环境敏感程度分级为</w:t>
      </w:r>
      <w:r>
        <w:rPr>
          <w:b/>
          <w:szCs w:val="24"/>
        </w:rPr>
        <w:t>“不敏感”。</w:t>
      </w:r>
    </w:p>
    <w:p>
      <w:pPr>
        <w:autoSpaceDE w:val="0"/>
        <w:autoSpaceDN w:val="0"/>
        <w:adjustRightInd w:val="0"/>
        <w:snapToGrid w:val="0"/>
        <w:ind w:firstLine="480"/>
        <w:rPr>
          <w:bCs/>
        </w:rPr>
      </w:pPr>
      <w:r>
        <w:rPr>
          <w:rFonts w:hint="eastAsia"/>
          <w:bCs/>
        </w:rPr>
        <w:t>（3）评价等级判定</w:t>
      </w:r>
    </w:p>
    <w:p>
      <w:pPr>
        <w:ind w:firstLine="480"/>
        <w:rPr>
          <w:rFonts w:cs="Times New Roman"/>
          <w:szCs w:val="24"/>
        </w:rPr>
      </w:pPr>
      <w:r>
        <w:rPr>
          <w:rFonts w:cs="Times New Roman"/>
          <w:szCs w:val="24"/>
        </w:rPr>
        <w:t>建设项目地下水环境影响评价工作等级的划分见下表。</w:t>
      </w:r>
    </w:p>
    <w:p>
      <w:pPr>
        <w:spacing w:line="240" w:lineRule="auto"/>
        <w:ind w:firstLine="0" w:firstLineChars="0"/>
        <w:jc w:val="center"/>
        <w:rPr>
          <w:rFonts w:cs="Times New Roman"/>
          <w:b/>
          <w:szCs w:val="24"/>
        </w:rPr>
      </w:pPr>
      <w:r>
        <w:rPr>
          <w:rFonts w:cs="Times New Roman"/>
          <w:b/>
          <w:szCs w:val="24"/>
        </w:rPr>
        <w:t>表4.2-</w:t>
      </w:r>
      <w:r>
        <w:rPr>
          <w:rFonts w:hint="eastAsia" w:cs="Times New Roman"/>
          <w:b/>
          <w:szCs w:val="24"/>
        </w:rPr>
        <w:t>3</w:t>
      </w:r>
      <w:r>
        <w:rPr>
          <w:rFonts w:cs="Times New Roman"/>
          <w:b/>
          <w:szCs w:val="24"/>
        </w:rPr>
        <w:t xml:space="preserve"> 建设项目评价工作等级</w:t>
      </w:r>
    </w:p>
    <w:tbl>
      <w:tblPr>
        <w:tblStyle w:val="11"/>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018"/>
        <w:gridCol w:w="2206"/>
        <w:gridCol w:w="22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92" w:type="dxa"/>
            <w:vMerge w:val="restart"/>
            <w:noWrap/>
            <w:vAlign w:val="center"/>
          </w:tcPr>
          <w:p>
            <w:pPr>
              <w:adjustRightInd w:val="0"/>
              <w:snapToGrid w:val="0"/>
              <w:spacing w:line="240" w:lineRule="auto"/>
              <w:ind w:firstLine="420"/>
              <w:jc w:val="right"/>
              <w:rPr>
                <w:b/>
                <w:b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-5715</wp:posOffset>
                      </wp:positionV>
                      <wp:extent cx="1530985" cy="353695"/>
                      <wp:effectExtent l="1270" t="4445" r="10795" b="22860"/>
                      <wp:wrapNone/>
                      <wp:docPr id="12" name="直接连接符 12"/>
                      <wp:cNvGraphicFramePr/>
                      <a:graphic xmlns:a="http://schemas.openxmlformats.org/drawingml/2006/main">
                        <a:graphicData uri="http://schemas.microsoft.com/office/word/2010/wordprocessingShape">
                          <wps:wsp>
                            <wps:cNvCnPr/>
                            <wps:spPr>
                              <a:xfrm>
                                <a:off x="0" y="0"/>
                                <a:ext cx="1530985" cy="3536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pt;margin-top:-0.45pt;height:27.85pt;width:120.55pt;z-index:251660288;mso-width-relative:page;mso-height-relative:page;" filled="f" stroked="t" coordsize="21600,21600" o:gfxdata="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Xws81wAAAAgB&#10;AAAPAAAAAAAAAAEAIAAAACIAAABkcnMvZG93bnJldi54bWxQSwECFAAUAAAACACHTuJALgNUw+MB&#10;AACrAwAADgAAAAAAAAABACAAAAAmAQAAZHJzL2Uyb0RvYy54bWxQSwUGAAAAAAYABgBZAQAAewUA&#10;AAAA&#10;">
                      <v:fill on="f" focussize="0,0"/>
                      <v:stroke color="#000000" joinstyle="round"/>
                      <v:imagedata o:title=""/>
                      <o:lock v:ext="edit" aspectratio="f"/>
                    </v:line>
                  </w:pict>
                </mc:Fallback>
              </mc:AlternateContent>
            </w:r>
            <w:r>
              <w:rPr>
                <w:b/>
                <w:bCs/>
                <w:sz w:val="21"/>
                <w:szCs w:val="21"/>
              </w:rPr>
              <w:t>项目类别</w:t>
            </w:r>
          </w:p>
          <w:p>
            <w:pPr>
              <w:adjustRightInd w:val="0"/>
              <w:snapToGrid w:val="0"/>
              <w:spacing w:line="240" w:lineRule="auto"/>
              <w:ind w:firstLine="0" w:firstLineChars="0"/>
              <w:rPr>
                <w:b/>
                <w:bCs/>
                <w:sz w:val="21"/>
                <w:szCs w:val="24"/>
              </w:rPr>
            </w:pPr>
            <w:r>
              <w:rPr>
                <w:b/>
                <w:bCs/>
                <w:sz w:val="21"/>
                <w:szCs w:val="21"/>
              </w:rPr>
              <w:t>环境敏感程度</w:t>
            </w:r>
          </w:p>
        </w:tc>
        <w:tc>
          <w:tcPr>
            <w:tcW w:w="2018" w:type="dxa"/>
            <w:vMerge w:val="restart"/>
            <w:noWrap/>
            <w:vAlign w:val="center"/>
          </w:tcPr>
          <w:p>
            <w:pPr>
              <w:adjustRightInd w:val="0"/>
              <w:snapToGrid w:val="0"/>
              <w:spacing w:line="240" w:lineRule="auto"/>
              <w:ind w:firstLine="0" w:firstLineChars="0"/>
              <w:jc w:val="center"/>
              <w:rPr>
                <w:b/>
                <w:bCs/>
                <w:sz w:val="21"/>
                <w:szCs w:val="24"/>
              </w:rPr>
            </w:pPr>
            <w:r>
              <w:rPr>
                <w:rFonts w:hint="eastAsia" w:ascii="宋体" w:hAnsi="宋体" w:cs="宋体"/>
                <w:b/>
                <w:bCs/>
                <w:sz w:val="21"/>
                <w:szCs w:val="24"/>
              </w:rPr>
              <w:t>Ⅰ</w:t>
            </w:r>
            <w:r>
              <w:rPr>
                <w:b/>
                <w:bCs/>
                <w:sz w:val="21"/>
                <w:szCs w:val="24"/>
              </w:rPr>
              <w:t>类项目</w:t>
            </w:r>
          </w:p>
        </w:tc>
        <w:tc>
          <w:tcPr>
            <w:tcW w:w="2206" w:type="dxa"/>
            <w:vMerge w:val="restart"/>
            <w:noWrap/>
            <w:vAlign w:val="center"/>
          </w:tcPr>
          <w:p>
            <w:pPr>
              <w:adjustRightInd w:val="0"/>
              <w:snapToGrid w:val="0"/>
              <w:spacing w:line="240" w:lineRule="auto"/>
              <w:ind w:firstLine="0" w:firstLineChars="0"/>
              <w:jc w:val="center"/>
              <w:rPr>
                <w:b/>
                <w:bCs/>
                <w:sz w:val="21"/>
                <w:szCs w:val="24"/>
              </w:rPr>
            </w:pPr>
            <w:r>
              <w:rPr>
                <w:rFonts w:hint="eastAsia" w:ascii="宋体" w:hAnsi="宋体" w:cs="宋体"/>
                <w:b/>
                <w:bCs/>
                <w:sz w:val="21"/>
                <w:szCs w:val="24"/>
              </w:rPr>
              <w:t>Ⅱ</w:t>
            </w:r>
            <w:r>
              <w:rPr>
                <w:b/>
                <w:bCs/>
                <w:sz w:val="21"/>
                <w:szCs w:val="24"/>
              </w:rPr>
              <w:t>类项目</w:t>
            </w:r>
          </w:p>
        </w:tc>
        <w:tc>
          <w:tcPr>
            <w:tcW w:w="2206" w:type="dxa"/>
            <w:vMerge w:val="restart"/>
            <w:noWrap/>
            <w:vAlign w:val="center"/>
          </w:tcPr>
          <w:p>
            <w:pPr>
              <w:adjustRightInd w:val="0"/>
              <w:snapToGrid w:val="0"/>
              <w:spacing w:line="240" w:lineRule="auto"/>
              <w:ind w:firstLine="0" w:firstLineChars="0"/>
              <w:jc w:val="center"/>
              <w:rPr>
                <w:b/>
                <w:bCs/>
                <w:sz w:val="21"/>
                <w:szCs w:val="24"/>
              </w:rPr>
            </w:pPr>
            <w:r>
              <w:rPr>
                <w:rFonts w:hint="eastAsia" w:ascii="宋体" w:hAnsi="宋体" w:cs="宋体"/>
                <w:b/>
                <w:bCs/>
                <w:sz w:val="21"/>
                <w:szCs w:val="24"/>
              </w:rPr>
              <w:t>Ⅲ</w:t>
            </w:r>
            <w:r>
              <w:rPr>
                <w:b/>
                <w:bCs/>
                <w:sz w:val="21"/>
                <w:szCs w:val="24"/>
              </w:rPr>
              <w:t>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92" w:type="dxa"/>
            <w:vMerge w:val="continue"/>
            <w:vAlign w:val="center"/>
          </w:tcPr>
          <w:p>
            <w:pPr>
              <w:adjustRightInd w:val="0"/>
              <w:snapToGrid w:val="0"/>
              <w:spacing w:line="240" w:lineRule="auto"/>
              <w:ind w:firstLine="420"/>
              <w:jc w:val="center"/>
              <w:rPr>
                <w:sz w:val="21"/>
                <w:szCs w:val="24"/>
              </w:rPr>
            </w:pPr>
          </w:p>
        </w:tc>
        <w:tc>
          <w:tcPr>
            <w:tcW w:w="2018" w:type="dxa"/>
            <w:vMerge w:val="continue"/>
            <w:vAlign w:val="center"/>
          </w:tcPr>
          <w:p>
            <w:pPr>
              <w:adjustRightInd w:val="0"/>
              <w:snapToGrid w:val="0"/>
              <w:spacing w:line="240" w:lineRule="auto"/>
              <w:ind w:firstLine="420"/>
              <w:jc w:val="center"/>
              <w:rPr>
                <w:sz w:val="21"/>
                <w:szCs w:val="24"/>
              </w:rPr>
            </w:pPr>
          </w:p>
        </w:tc>
        <w:tc>
          <w:tcPr>
            <w:tcW w:w="2206" w:type="dxa"/>
            <w:vMerge w:val="continue"/>
            <w:vAlign w:val="center"/>
          </w:tcPr>
          <w:p>
            <w:pPr>
              <w:adjustRightInd w:val="0"/>
              <w:snapToGrid w:val="0"/>
              <w:spacing w:line="240" w:lineRule="auto"/>
              <w:ind w:firstLine="420"/>
              <w:jc w:val="center"/>
              <w:rPr>
                <w:sz w:val="21"/>
                <w:szCs w:val="24"/>
              </w:rPr>
            </w:pPr>
          </w:p>
        </w:tc>
        <w:tc>
          <w:tcPr>
            <w:tcW w:w="2206" w:type="dxa"/>
            <w:vMerge w:val="continue"/>
            <w:vAlign w:val="center"/>
          </w:tcPr>
          <w:p>
            <w:pPr>
              <w:adjustRightInd w:val="0"/>
              <w:snapToGrid w:val="0"/>
              <w:spacing w:line="240" w:lineRule="auto"/>
              <w:ind w:firstLine="420"/>
              <w:jc w:val="center"/>
              <w:rPr>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noWrap/>
            <w:vAlign w:val="center"/>
          </w:tcPr>
          <w:p>
            <w:pPr>
              <w:adjustRightInd w:val="0"/>
              <w:snapToGrid w:val="0"/>
              <w:spacing w:line="240" w:lineRule="auto"/>
              <w:ind w:firstLine="0" w:firstLineChars="0"/>
              <w:jc w:val="center"/>
              <w:rPr>
                <w:sz w:val="21"/>
                <w:szCs w:val="24"/>
              </w:rPr>
            </w:pPr>
            <w:r>
              <w:rPr>
                <w:sz w:val="21"/>
                <w:szCs w:val="24"/>
              </w:rPr>
              <w:t>敏感</w:t>
            </w:r>
          </w:p>
        </w:tc>
        <w:tc>
          <w:tcPr>
            <w:tcW w:w="2018" w:type="dxa"/>
            <w:noWrap/>
            <w:vAlign w:val="center"/>
          </w:tcPr>
          <w:p>
            <w:pPr>
              <w:adjustRightInd w:val="0"/>
              <w:snapToGrid w:val="0"/>
              <w:spacing w:line="240" w:lineRule="auto"/>
              <w:ind w:firstLine="0" w:firstLineChars="0"/>
              <w:jc w:val="center"/>
              <w:rPr>
                <w:sz w:val="21"/>
                <w:szCs w:val="24"/>
              </w:rPr>
            </w:pPr>
            <w:r>
              <w:rPr>
                <w:sz w:val="21"/>
                <w:szCs w:val="24"/>
              </w:rPr>
              <w:t>一</w:t>
            </w:r>
          </w:p>
        </w:tc>
        <w:tc>
          <w:tcPr>
            <w:tcW w:w="2206" w:type="dxa"/>
            <w:noWrap/>
            <w:vAlign w:val="center"/>
          </w:tcPr>
          <w:p>
            <w:pPr>
              <w:adjustRightInd w:val="0"/>
              <w:snapToGrid w:val="0"/>
              <w:spacing w:line="240" w:lineRule="auto"/>
              <w:ind w:firstLine="0" w:firstLineChars="0"/>
              <w:jc w:val="center"/>
              <w:rPr>
                <w:sz w:val="21"/>
                <w:szCs w:val="24"/>
              </w:rPr>
            </w:pPr>
            <w:r>
              <w:rPr>
                <w:sz w:val="21"/>
                <w:szCs w:val="24"/>
              </w:rPr>
              <w:t>一</w:t>
            </w:r>
          </w:p>
        </w:tc>
        <w:tc>
          <w:tcPr>
            <w:tcW w:w="2206" w:type="dxa"/>
            <w:noWrap/>
            <w:vAlign w:val="center"/>
          </w:tcPr>
          <w:p>
            <w:pPr>
              <w:adjustRightInd w:val="0"/>
              <w:snapToGrid w:val="0"/>
              <w:spacing w:line="240" w:lineRule="auto"/>
              <w:ind w:firstLine="0" w:firstLineChars="0"/>
              <w:jc w:val="center"/>
              <w:rPr>
                <w:sz w:val="21"/>
                <w:szCs w:val="24"/>
              </w:rPr>
            </w:pPr>
            <w:r>
              <w:rPr>
                <w:sz w:val="21"/>
                <w:szCs w:val="24"/>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noWrap/>
            <w:vAlign w:val="center"/>
          </w:tcPr>
          <w:p>
            <w:pPr>
              <w:adjustRightInd w:val="0"/>
              <w:snapToGrid w:val="0"/>
              <w:spacing w:line="240" w:lineRule="auto"/>
              <w:ind w:firstLine="0" w:firstLineChars="0"/>
              <w:jc w:val="center"/>
              <w:rPr>
                <w:sz w:val="21"/>
                <w:szCs w:val="24"/>
              </w:rPr>
            </w:pPr>
            <w:r>
              <w:rPr>
                <w:sz w:val="21"/>
                <w:szCs w:val="24"/>
              </w:rPr>
              <w:t>较敏感</w:t>
            </w:r>
          </w:p>
        </w:tc>
        <w:tc>
          <w:tcPr>
            <w:tcW w:w="2018" w:type="dxa"/>
            <w:noWrap/>
            <w:vAlign w:val="center"/>
          </w:tcPr>
          <w:p>
            <w:pPr>
              <w:adjustRightInd w:val="0"/>
              <w:snapToGrid w:val="0"/>
              <w:spacing w:line="240" w:lineRule="auto"/>
              <w:ind w:firstLine="0" w:firstLineChars="0"/>
              <w:jc w:val="center"/>
              <w:rPr>
                <w:sz w:val="21"/>
                <w:szCs w:val="24"/>
              </w:rPr>
            </w:pPr>
            <w:r>
              <w:rPr>
                <w:sz w:val="21"/>
                <w:szCs w:val="24"/>
              </w:rPr>
              <w:t>一</w:t>
            </w:r>
          </w:p>
        </w:tc>
        <w:tc>
          <w:tcPr>
            <w:tcW w:w="2206" w:type="dxa"/>
            <w:noWrap/>
            <w:vAlign w:val="center"/>
          </w:tcPr>
          <w:p>
            <w:pPr>
              <w:adjustRightInd w:val="0"/>
              <w:snapToGrid w:val="0"/>
              <w:spacing w:line="240" w:lineRule="auto"/>
              <w:ind w:firstLine="0" w:firstLineChars="0"/>
              <w:jc w:val="center"/>
              <w:rPr>
                <w:sz w:val="21"/>
                <w:szCs w:val="24"/>
              </w:rPr>
            </w:pPr>
            <w:r>
              <w:rPr>
                <w:sz w:val="21"/>
                <w:szCs w:val="24"/>
              </w:rPr>
              <w:t>二</w:t>
            </w:r>
          </w:p>
        </w:tc>
        <w:tc>
          <w:tcPr>
            <w:tcW w:w="2206" w:type="dxa"/>
            <w:noWrap/>
            <w:vAlign w:val="center"/>
          </w:tcPr>
          <w:p>
            <w:pPr>
              <w:adjustRightInd w:val="0"/>
              <w:snapToGrid w:val="0"/>
              <w:spacing w:line="240" w:lineRule="auto"/>
              <w:ind w:firstLine="0" w:firstLineChars="0"/>
              <w:jc w:val="center"/>
              <w:rPr>
                <w:sz w:val="21"/>
                <w:szCs w:val="24"/>
              </w:rPr>
            </w:pPr>
            <w:r>
              <w:rPr>
                <w:sz w:val="21"/>
                <w:szCs w:val="24"/>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noWrap/>
            <w:vAlign w:val="center"/>
          </w:tcPr>
          <w:p>
            <w:pPr>
              <w:adjustRightInd w:val="0"/>
              <w:snapToGrid w:val="0"/>
              <w:spacing w:line="240" w:lineRule="auto"/>
              <w:ind w:firstLine="0" w:firstLineChars="0"/>
              <w:jc w:val="center"/>
              <w:rPr>
                <w:sz w:val="21"/>
                <w:szCs w:val="24"/>
              </w:rPr>
            </w:pPr>
            <w:r>
              <w:rPr>
                <w:sz w:val="21"/>
                <w:szCs w:val="24"/>
              </w:rPr>
              <w:t>不敏感</w:t>
            </w:r>
          </w:p>
        </w:tc>
        <w:tc>
          <w:tcPr>
            <w:tcW w:w="2018" w:type="dxa"/>
            <w:noWrap/>
            <w:vAlign w:val="center"/>
          </w:tcPr>
          <w:p>
            <w:pPr>
              <w:adjustRightInd w:val="0"/>
              <w:snapToGrid w:val="0"/>
              <w:spacing w:line="240" w:lineRule="auto"/>
              <w:ind w:firstLine="0" w:firstLineChars="0"/>
              <w:jc w:val="center"/>
              <w:rPr>
                <w:sz w:val="21"/>
                <w:szCs w:val="24"/>
              </w:rPr>
            </w:pPr>
            <w:r>
              <w:rPr>
                <w:sz w:val="21"/>
                <w:szCs w:val="24"/>
              </w:rPr>
              <w:t>二</w:t>
            </w:r>
          </w:p>
        </w:tc>
        <w:tc>
          <w:tcPr>
            <w:tcW w:w="2206" w:type="dxa"/>
            <w:noWrap/>
            <w:vAlign w:val="center"/>
          </w:tcPr>
          <w:p>
            <w:pPr>
              <w:adjustRightInd w:val="0"/>
              <w:snapToGrid w:val="0"/>
              <w:spacing w:line="240" w:lineRule="auto"/>
              <w:ind w:firstLine="0" w:firstLineChars="0"/>
              <w:jc w:val="center"/>
              <w:rPr>
                <w:sz w:val="21"/>
                <w:szCs w:val="24"/>
              </w:rPr>
            </w:pPr>
            <w:r>
              <w:rPr>
                <w:sz w:val="21"/>
                <w:szCs w:val="24"/>
              </w:rPr>
              <w:t>三</w:t>
            </w:r>
          </w:p>
        </w:tc>
        <w:tc>
          <w:tcPr>
            <w:tcW w:w="2206" w:type="dxa"/>
            <w:noWrap/>
            <w:vAlign w:val="center"/>
          </w:tcPr>
          <w:p>
            <w:pPr>
              <w:adjustRightInd w:val="0"/>
              <w:snapToGrid w:val="0"/>
              <w:spacing w:line="240" w:lineRule="auto"/>
              <w:ind w:firstLine="0" w:firstLineChars="0"/>
              <w:jc w:val="center"/>
              <w:rPr>
                <w:sz w:val="21"/>
                <w:szCs w:val="24"/>
              </w:rPr>
            </w:pPr>
            <w:r>
              <w:rPr>
                <w:sz w:val="21"/>
                <w:szCs w:val="24"/>
              </w:rPr>
              <w:t>三</w:t>
            </w:r>
          </w:p>
        </w:tc>
      </w:tr>
    </w:tbl>
    <w:p>
      <w:pPr>
        <w:ind w:firstLine="480"/>
        <w:rPr>
          <w:rFonts w:cs="Times New Roman"/>
          <w:szCs w:val="24"/>
        </w:rPr>
      </w:pPr>
      <w:r>
        <w:rPr>
          <w:rFonts w:cs="Times New Roman"/>
          <w:szCs w:val="24"/>
        </w:rPr>
        <w:t>项目地下水环境影响评价类别为</w:t>
      </w:r>
      <w:r>
        <w:rPr>
          <w:rFonts w:eastAsia="宋体" w:cs="Times New Roman"/>
          <w:b/>
          <w:szCs w:val="24"/>
        </w:rPr>
        <w:t>Ⅲ</w:t>
      </w:r>
      <w:r>
        <w:rPr>
          <w:rFonts w:cs="Times New Roman"/>
          <w:b/>
          <w:szCs w:val="24"/>
        </w:rPr>
        <w:t>类</w:t>
      </w:r>
      <w:r>
        <w:rPr>
          <w:rFonts w:cs="Times New Roman"/>
          <w:szCs w:val="24"/>
        </w:rPr>
        <w:t>，地下水环境敏感程度分级为</w:t>
      </w:r>
      <w:r>
        <w:rPr>
          <w:rFonts w:hint="eastAsia" w:cs="Times New Roman"/>
          <w:b/>
          <w:bCs/>
          <w:szCs w:val="24"/>
        </w:rPr>
        <w:t>不</w:t>
      </w:r>
      <w:r>
        <w:rPr>
          <w:rFonts w:cs="Times New Roman"/>
          <w:b/>
          <w:szCs w:val="24"/>
        </w:rPr>
        <w:t>敏感</w:t>
      </w:r>
      <w:r>
        <w:rPr>
          <w:rFonts w:cs="Times New Roman"/>
          <w:szCs w:val="24"/>
        </w:rPr>
        <w:t>，综上所述，确定本项目地下水环境影响评价工作等级为“</w:t>
      </w:r>
      <w:r>
        <w:rPr>
          <w:rFonts w:hint="eastAsia" w:cs="Times New Roman"/>
          <w:szCs w:val="24"/>
        </w:rPr>
        <w:t>三</w:t>
      </w:r>
      <w:r>
        <w:rPr>
          <w:rFonts w:cs="Times New Roman"/>
          <w:b/>
          <w:szCs w:val="24"/>
        </w:rPr>
        <w:t>级</w:t>
      </w:r>
      <w:r>
        <w:rPr>
          <w:rFonts w:cs="Times New Roman"/>
          <w:szCs w:val="24"/>
        </w:rPr>
        <w:t>”。</w:t>
      </w:r>
    </w:p>
    <w:p>
      <w:pPr>
        <w:autoSpaceDE w:val="0"/>
        <w:autoSpaceDN w:val="0"/>
        <w:adjustRightInd w:val="0"/>
        <w:snapToGrid w:val="0"/>
        <w:ind w:firstLine="480"/>
        <w:rPr>
          <w:bCs/>
        </w:rPr>
      </w:pPr>
      <w:r>
        <w:rPr>
          <w:rFonts w:hint="eastAsia"/>
          <w:bCs/>
        </w:rPr>
        <w:t>（4）评价范围确定</w:t>
      </w:r>
    </w:p>
    <w:p>
      <w:pPr>
        <w:pStyle w:val="10"/>
        <w:spacing w:line="360" w:lineRule="auto"/>
        <w:ind w:left="0" w:leftChars="0" w:firstLine="480"/>
        <w:rPr>
          <w:color w:val="auto"/>
        </w:rPr>
      </w:pPr>
      <w:r>
        <w:rPr>
          <w:rFonts w:hint="eastAsia" w:ascii="Times New Roman" w:hAnsi="Times New Roman" w:cs="Times New Roman" w:eastAsiaTheme="minorEastAsia"/>
          <w:color w:val="auto"/>
          <w:sz w:val="24"/>
          <w:szCs w:val="24"/>
        </w:rPr>
        <w:t>根据</w:t>
      </w:r>
      <w:r>
        <w:rPr>
          <w:rFonts w:ascii="Times New Roman" w:hAnsi="Times New Roman" w:cs="Times New Roman" w:eastAsiaTheme="minorEastAsia"/>
          <w:color w:val="auto"/>
          <w:sz w:val="24"/>
          <w:szCs w:val="24"/>
        </w:rPr>
        <w:t>《环境影响评价技术导则－地下水环境》</w:t>
      </w:r>
      <w:r>
        <w:rPr>
          <w:rFonts w:hint="eastAsia" w:ascii="Times New Roman" w:hAnsi="Times New Roman" w:cs="Times New Roman" w:eastAsiaTheme="minorEastAsia"/>
          <w:color w:val="auto"/>
          <w:sz w:val="24"/>
          <w:szCs w:val="24"/>
        </w:rPr>
        <w:t>（</w:t>
      </w:r>
      <w:r>
        <w:rPr>
          <w:rFonts w:ascii="Times New Roman" w:hAnsi="Times New Roman" w:cs="Times New Roman" w:eastAsiaTheme="minorEastAsia"/>
          <w:color w:val="auto"/>
          <w:sz w:val="24"/>
          <w:szCs w:val="24"/>
        </w:rPr>
        <w:t>HJ 610-2016</w:t>
      </w:r>
      <w:r>
        <w:rPr>
          <w:rFonts w:hint="eastAsia" w:ascii="Times New Roman" w:hAnsi="Times New Roman" w:cs="Times New Roman" w:eastAsiaTheme="minorEastAsia"/>
          <w:color w:val="auto"/>
          <w:sz w:val="24"/>
          <w:szCs w:val="24"/>
        </w:rPr>
        <w:t>） 8.2.2.2：线性工程应以工程边界两侧向外延伸200m作为调查评价范围；穿越饮用水源保护区时，调查评价范围应至少包含水源保护区。本项目不涉及穿越饮用水源保护区，且项目不设站场，因此确定本项目评价范围为工程边界两侧向外延伸200m。</w:t>
      </w:r>
    </w:p>
    <w:bookmarkEnd w:id="28"/>
    <w:p>
      <w:pPr>
        <w:autoSpaceDE w:val="0"/>
        <w:autoSpaceDN w:val="0"/>
        <w:adjustRightInd w:val="0"/>
        <w:snapToGrid w:val="0"/>
        <w:ind w:firstLine="480"/>
        <w:rPr>
          <w:bCs/>
        </w:rPr>
      </w:pPr>
      <w:bookmarkStart w:id="38" w:name="_Toc210187785"/>
      <w:bookmarkStart w:id="39" w:name="_Toc216765668"/>
      <w:bookmarkStart w:id="40" w:name="_Toc206596428"/>
      <w:r>
        <w:rPr>
          <w:rFonts w:hint="eastAsia"/>
          <w:bCs/>
        </w:rPr>
        <w:t>（5）地下水环境影响分析</w:t>
      </w:r>
    </w:p>
    <w:p>
      <w:pPr>
        <w:ind w:firstLine="480"/>
        <w:rPr>
          <w:rFonts w:eastAsia="宋体" w:cs="Times New Roman"/>
        </w:rPr>
      </w:pPr>
      <w:r>
        <w:rPr>
          <w:rFonts w:hint="eastAsia" w:eastAsia="宋体" w:cs="Times New Roman"/>
        </w:rPr>
        <w:t>1）</w:t>
      </w:r>
      <w:r>
        <w:rPr>
          <w:rFonts w:eastAsia="宋体" w:cs="Times New Roman"/>
        </w:rPr>
        <w:t>正常工况下对地下水的影响</w:t>
      </w:r>
    </w:p>
    <w:p>
      <w:pPr>
        <w:ind w:firstLine="480"/>
        <w:rPr>
          <w:rFonts w:eastAsia="宋体" w:cs="Times New Roman"/>
        </w:rPr>
      </w:pPr>
      <w:r>
        <w:rPr>
          <w:rFonts w:eastAsia="宋体" w:cs="Times New Roman"/>
        </w:rPr>
        <w:t>正常工况下，管道是全封闭系统，运输的物料不会与地下水发生联系，采用外防腐层和强制电流阴极保护联合方式，故正常运营情况下不会对地下水造成影响。</w:t>
      </w:r>
    </w:p>
    <w:p>
      <w:pPr>
        <w:ind w:firstLine="480"/>
        <w:rPr>
          <w:rFonts w:eastAsia="宋体" w:cs="Times New Roman"/>
        </w:rPr>
      </w:pPr>
      <w:r>
        <w:rPr>
          <w:rFonts w:eastAsia="宋体" w:cs="Times New Roman"/>
        </w:rPr>
        <w:t>拟建</w:t>
      </w:r>
      <w:r>
        <w:rPr>
          <w:rFonts w:hint="eastAsia" w:eastAsia="宋体" w:cs="Times New Roman"/>
        </w:rPr>
        <w:t>供气</w:t>
      </w:r>
      <w:r>
        <w:rPr>
          <w:rFonts w:eastAsia="宋体" w:cs="Times New Roman"/>
        </w:rPr>
        <w:t>管道应设置在线泄漏检测系统，通过控制系统进行分析判断，及时进行泄漏报警及泄漏点定位。适时执行紧急安全切断指令功能，所以，正常情况下，发生物料渗漏污染地下水的可能性小。</w:t>
      </w:r>
    </w:p>
    <w:p>
      <w:pPr>
        <w:ind w:firstLine="480"/>
        <w:rPr>
          <w:rFonts w:eastAsia="宋体" w:cs="Times New Roman"/>
        </w:rPr>
      </w:pPr>
      <w:r>
        <w:rPr>
          <w:rFonts w:hint="eastAsia" w:eastAsia="宋体" w:cs="Times New Roman"/>
        </w:rPr>
        <w:t>2）</w:t>
      </w:r>
      <w:r>
        <w:rPr>
          <w:rFonts w:eastAsia="宋体" w:cs="Times New Roman"/>
        </w:rPr>
        <w:t>非正常工况下对地下水的影响</w:t>
      </w:r>
    </w:p>
    <w:p>
      <w:pPr>
        <w:autoSpaceDE w:val="0"/>
        <w:autoSpaceDN w:val="0"/>
        <w:adjustRightInd w:val="0"/>
        <w:snapToGrid w:val="0"/>
        <w:ind w:firstLine="480"/>
      </w:pPr>
      <w:r>
        <w:rPr>
          <w:bCs/>
        </w:rPr>
        <w:t>火灾等事故用到的消防废水收集导排不及时</w:t>
      </w:r>
      <w:r>
        <w:t>，散落到地面上，下渗污染地下水。事故状态下，在无保护措施的情况下，地下水将受到污染。</w:t>
      </w:r>
    </w:p>
    <w:p>
      <w:pPr>
        <w:ind w:firstLine="480"/>
      </w:pPr>
      <w:bookmarkStart w:id="41" w:name="_Toc500843540"/>
      <w:r>
        <w:rPr>
          <w:rFonts w:hint="eastAsia"/>
        </w:rPr>
        <w:t>3、地下水环境保护措施与</w:t>
      </w:r>
      <w:bookmarkEnd w:id="41"/>
      <w:r>
        <w:rPr>
          <w:rFonts w:hint="eastAsia"/>
        </w:rPr>
        <w:t>跟踪监测计划</w:t>
      </w:r>
    </w:p>
    <w:p>
      <w:pPr>
        <w:ind w:firstLine="480"/>
        <w:rPr>
          <w:rFonts w:eastAsia="宋体" w:cs="Times New Roman"/>
        </w:rPr>
      </w:pPr>
      <w:r>
        <w:rPr>
          <w:rFonts w:eastAsia="宋体" w:cs="Times New Roman"/>
        </w:rPr>
        <w:t>管线运行过程中，发生管道爆裂，会导致物料泄漏</w:t>
      </w:r>
      <w:r>
        <w:rPr>
          <w:rFonts w:hint="eastAsia" w:eastAsia="宋体" w:cs="Times New Roman"/>
        </w:rPr>
        <w:t>，进而引发燃爆事故，产生的消防废水无保护措施的情况下会</w:t>
      </w:r>
      <w:r>
        <w:rPr>
          <w:rFonts w:eastAsia="宋体" w:cs="Times New Roman"/>
        </w:rPr>
        <w:t>伴随污染地下水的风险，结合管道沿线水文地质条件，应采取严格的防护、监控和应急处理措施，在发生上述事故工况下，最大限度地减少项目运行对地下水环境的影响。</w:t>
      </w:r>
    </w:p>
    <w:p>
      <w:pPr>
        <w:ind w:firstLine="480"/>
        <w:rPr>
          <w:rFonts w:eastAsia="宋体" w:cs="Times New Roman"/>
        </w:rPr>
      </w:pPr>
      <w:r>
        <w:rPr>
          <w:rFonts w:hint="eastAsia" w:eastAsia="宋体" w:cs="Times New Roman"/>
        </w:rPr>
        <w:t>（一）</w:t>
      </w:r>
      <w:r>
        <w:rPr>
          <w:rFonts w:eastAsia="宋体" w:cs="Times New Roman"/>
        </w:rPr>
        <w:t>工程措施</w:t>
      </w:r>
    </w:p>
    <w:p>
      <w:pPr>
        <w:ind w:firstLine="480"/>
        <w:rPr>
          <w:rFonts w:eastAsia="宋体" w:cs="Times New Roman"/>
        </w:rPr>
      </w:pPr>
      <w:r>
        <w:rPr>
          <w:rFonts w:eastAsia="宋体" w:cs="Times New Roman"/>
        </w:rPr>
        <w:t>（1）管材</w:t>
      </w:r>
    </w:p>
    <w:p>
      <w:pPr>
        <w:ind w:firstLine="480"/>
        <w:rPr>
          <w:rFonts w:eastAsia="宋体" w:cs="Times New Roman"/>
        </w:rPr>
      </w:pPr>
      <w:r>
        <w:rPr>
          <w:rFonts w:eastAsia="宋体" w:cs="Times New Roman"/>
        </w:rPr>
        <w:t>为了保证管道投产后安全运行，从各种制管型式在国内长输管道的应用情况、生产能力、成熟程度出发，本工程管线线路用管及热煨弯头均采用无缝钢管。为了保证所用钢管技术先进，安全可靠，管材的选用从管材性能、可焊性及运行时的事故抢修等方面进行考虑。</w:t>
      </w:r>
    </w:p>
    <w:p>
      <w:pPr>
        <w:ind w:firstLine="480"/>
        <w:rPr>
          <w:rFonts w:eastAsia="宋体" w:cs="Times New Roman"/>
        </w:rPr>
      </w:pPr>
      <w:r>
        <w:rPr>
          <w:rFonts w:eastAsia="宋体" w:cs="Times New Roman"/>
        </w:rPr>
        <w:t>（2）防腐与保温</w:t>
      </w:r>
    </w:p>
    <w:p>
      <w:pPr>
        <w:ind w:firstLine="480"/>
        <w:rPr>
          <w:rFonts w:eastAsia="宋体" w:cs="Times New Roman"/>
        </w:rPr>
      </w:pPr>
      <w:r>
        <w:rPr>
          <w:rFonts w:eastAsia="宋体" w:cs="Times New Roman"/>
        </w:rPr>
        <w:t>管道防腐层选用</w:t>
      </w:r>
      <w:r>
        <w:rPr>
          <w:rFonts w:hint="eastAsia" w:eastAsia="宋体" w:cs="Times New Roman"/>
        </w:rPr>
        <w:t>黑色加强级三层</w:t>
      </w:r>
      <w:r>
        <w:rPr>
          <w:rFonts w:eastAsia="宋体" w:cs="Times New Roman"/>
        </w:rPr>
        <w:t>PE防腐</w:t>
      </w:r>
      <w:r>
        <w:rPr>
          <w:rFonts w:hint="eastAsia" w:eastAsia="宋体" w:cs="Times New Roman"/>
        </w:rPr>
        <w:t>层</w:t>
      </w:r>
      <w:r>
        <w:rPr>
          <w:rFonts w:eastAsia="宋体" w:cs="Times New Roman"/>
        </w:rPr>
        <w:t>。3PE加强级防腐兼有环氧粉末优异的防腐性能、粘接性能、抗阴极剥离性能和聚乙烯优良的机械性能、绝缘性能及强抗渗透性，几乎能够适用于所有的土壤环境，是一种综合性能优异的防腐涂层。</w:t>
      </w:r>
    </w:p>
    <w:p>
      <w:pPr>
        <w:ind w:firstLine="480"/>
        <w:rPr>
          <w:rFonts w:eastAsia="宋体" w:cs="Times New Roman"/>
        </w:rPr>
      </w:pPr>
      <w:r>
        <w:rPr>
          <w:rFonts w:hint="eastAsia" w:eastAsia="宋体" w:cs="Times New Roman"/>
        </w:rPr>
        <w:t>管道全线三层PE管道补口采用采用“无溶剂液体环氧涂料（干膜厚度≥400μm）+热收缩补口带（收缩后宽度≥520mm）”防腐结构。热煨弯管外涂层采用无溶剂液体环氧涂料（干膜厚度1mm）+聚丙烯胶粘带。</w:t>
      </w:r>
    </w:p>
    <w:p>
      <w:pPr>
        <w:ind w:firstLine="480"/>
        <w:rPr>
          <w:rFonts w:eastAsia="宋体" w:cs="Times New Roman"/>
        </w:rPr>
      </w:pPr>
      <w:r>
        <w:rPr>
          <w:rFonts w:hint="eastAsia" w:eastAsia="宋体" w:cs="Times New Roman"/>
        </w:rPr>
        <w:t>为保证新建管线与已建管线连接处的防腐效果，新旧管线连接处补口采用粘弹体防腐带（厚度≥1.8mm，宽度100mm，带间搭接≥10mm）+聚丙烯外保护带（厚度1.15mm，带宽150mm，带间搭接50%-55%）防腐结构</w:t>
      </w:r>
      <w:r>
        <w:rPr>
          <w:rFonts w:eastAsia="宋体" w:cs="Times New Roman"/>
        </w:rPr>
        <w:t>。</w:t>
      </w:r>
    </w:p>
    <w:p>
      <w:pPr>
        <w:ind w:firstLine="480"/>
        <w:rPr>
          <w:rFonts w:eastAsia="宋体" w:cs="Times New Roman"/>
        </w:rPr>
      </w:pPr>
      <w:r>
        <w:rPr>
          <w:rFonts w:eastAsia="宋体" w:cs="Times New Roman"/>
        </w:rPr>
        <w:t>管线阴极保护采用强制电流的阴极保护方式，对于同沟管线采用一套阴极保护系统进行联合保护。强制电流法适用于长距离、土壤电阻率较大的管线，它具有保护距离长、作用范围广，输出电流、电位可调和受外界影响干扰小等优点。</w:t>
      </w:r>
    </w:p>
    <w:p>
      <w:pPr>
        <w:ind w:firstLine="480"/>
        <w:rPr>
          <w:rFonts w:eastAsia="宋体" w:cs="Times New Roman"/>
        </w:rPr>
      </w:pPr>
      <w:r>
        <w:rPr>
          <w:rFonts w:eastAsia="宋体" w:cs="Times New Roman"/>
        </w:rPr>
        <w:t>（3）施工及验收</w:t>
      </w:r>
    </w:p>
    <w:p>
      <w:pPr>
        <w:ind w:firstLine="480"/>
        <w:rPr>
          <w:rFonts w:eastAsia="宋体" w:cs="Times New Roman"/>
        </w:rPr>
      </w:pPr>
      <w:r>
        <w:rPr>
          <w:rFonts w:eastAsia="宋体" w:cs="Times New Roman"/>
        </w:rPr>
        <w:t>物料输送管道的工程设计、工程材料、工程措施等都采用最新的管道设计技术标准和规范，以保证管线的总体设计质量。</w:t>
      </w:r>
    </w:p>
    <w:p>
      <w:pPr>
        <w:ind w:firstLine="480"/>
        <w:rPr>
          <w:rFonts w:eastAsia="宋体" w:cs="Times New Roman"/>
        </w:rPr>
      </w:pPr>
      <w:r>
        <w:rPr>
          <w:rFonts w:eastAsia="宋体" w:cs="Times New Roman"/>
        </w:rPr>
        <w:t>在施工过程中力求先进、易操作、无污染或少污染的施工方法和技术，以保证施工质量和减少环境污染。本工程穿越地表水体等均采用定向钻穿越方式，并设置必要的防护措施。本管道的施工验收严格按照相应规范进行。</w:t>
      </w:r>
    </w:p>
    <w:p>
      <w:pPr>
        <w:ind w:firstLine="199" w:firstLineChars="83"/>
        <w:rPr>
          <w:rFonts w:eastAsia="宋体" w:cs="Times New Roman"/>
          <w:bCs/>
        </w:rPr>
      </w:pPr>
      <w:r>
        <w:rPr>
          <w:rFonts w:hint="eastAsia" w:eastAsia="宋体" w:cs="Times New Roman"/>
          <w:bCs/>
        </w:rPr>
        <w:t>（二）</w:t>
      </w:r>
      <w:r>
        <w:rPr>
          <w:rFonts w:eastAsia="宋体" w:cs="Times New Roman"/>
          <w:bCs/>
        </w:rPr>
        <w:t>施工期管理措施</w:t>
      </w:r>
    </w:p>
    <w:p>
      <w:pPr>
        <w:ind w:firstLine="480"/>
        <w:rPr>
          <w:rFonts w:eastAsia="宋体" w:cs="Times New Roman"/>
        </w:rPr>
      </w:pPr>
      <w:r>
        <w:rPr>
          <w:rFonts w:eastAsia="宋体" w:cs="Times New Roman"/>
        </w:rPr>
        <w:t>根据本工程特点、管道沿线的地质环境，并结合管道工程建设的经验，应采取以下几点措施：</w:t>
      </w:r>
    </w:p>
    <w:p>
      <w:pPr>
        <w:ind w:firstLine="480"/>
        <w:rPr>
          <w:rFonts w:eastAsia="宋体" w:cs="Times New Roman"/>
        </w:rPr>
      </w:pPr>
      <w:r>
        <w:rPr>
          <w:rFonts w:eastAsia="宋体" w:cs="Times New Roman"/>
        </w:rPr>
        <w:t>（1）建设单位必须制定具体的环境保护措施，加强环境管理。</w:t>
      </w:r>
    </w:p>
    <w:p>
      <w:pPr>
        <w:ind w:firstLine="480"/>
        <w:rPr>
          <w:rFonts w:eastAsia="宋体" w:cs="Times New Roman"/>
        </w:rPr>
      </w:pPr>
      <w:r>
        <w:rPr>
          <w:rFonts w:eastAsia="宋体" w:cs="Times New Roman"/>
        </w:rPr>
        <w:t>（2）管道的埋设施工过程要精细，严格按照可研中制定的管道要求选材，避免管道破裂等意外造成的</w:t>
      </w:r>
      <w:r>
        <w:rPr>
          <w:rFonts w:eastAsia="宋体" w:cs="Times New Roman"/>
        </w:rPr>
        <w:tab/>
      </w:r>
      <w:r>
        <w:rPr>
          <w:rFonts w:eastAsia="宋体" w:cs="Times New Roman"/>
        </w:rPr>
        <w:t>污染事故。</w:t>
      </w:r>
    </w:p>
    <w:p>
      <w:pPr>
        <w:ind w:firstLine="480"/>
        <w:rPr>
          <w:rFonts w:eastAsia="宋体" w:cs="Times New Roman"/>
        </w:rPr>
      </w:pPr>
      <w:r>
        <w:rPr>
          <w:rFonts w:eastAsia="宋体" w:cs="Times New Roman"/>
        </w:rPr>
        <w:t>（3）施工现场生活垃圾和工业垃圾定期分类回收、外运处理。</w:t>
      </w:r>
    </w:p>
    <w:p>
      <w:pPr>
        <w:ind w:firstLine="480"/>
        <w:rPr>
          <w:rFonts w:eastAsia="宋体" w:cs="Times New Roman"/>
        </w:rPr>
      </w:pPr>
      <w:r>
        <w:rPr>
          <w:rFonts w:eastAsia="宋体" w:cs="Times New Roman"/>
        </w:rPr>
        <w:t>（4）施工过程中，仔细检查施工设备，禁止在开挖管沟内给施工设备加油、存放成油储罐、清洗施工机械和排放污水，防止漏油、生活污水污染地下水，一旦出现较大面积的污染，应及时截断污染扩散途径，使污染物在原地净化处理，尽快排除污染源。</w:t>
      </w:r>
    </w:p>
    <w:p>
      <w:pPr>
        <w:ind w:firstLine="480"/>
        <w:rPr>
          <w:rFonts w:eastAsia="宋体" w:cs="Times New Roman"/>
        </w:rPr>
      </w:pPr>
      <w:r>
        <w:rPr>
          <w:rFonts w:eastAsia="宋体" w:cs="Times New Roman"/>
        </w:rPr>
        <w:t>（5）做好施工期内影响范围内地下水水位、水量和水质的监测工作，发现影响居民生活和生产用水时应及时解决。</w:t>
      </w:r>
    </w:p>
    <w:p>
      <w:pPr>
        <w:tabs>
          <w:tab w:val="left" w:pos="720"/>
        </w:tabs>
        <w:ind w:firstLine="480"/>
        <w:rPr>
          <w:rFonts w:eastAsia="宋体" w:cs="Times New Roman"/>
          <w:bCs/>
        </w:rPr>
      </w:pPr>
      <w:r>
        <w:rPr>
          <w:rFonts w:hint="eastAsia" w:eastAsia="宋体" w:cs="Times New Roman"/>
          <w:bCs/>
        </w:rPr>
        <w:t>（三）</w:t>
      </w:r>
      <w:r>
        <w:rPr>
          <w:rFonts w:eastAsia="宋体" w:cs="Times New Roman"/>
          <w:bCs/>
        </w:rPr>
        <w:t>运营期污染防治措施</w:t>
      </w:r>
    </w:p>
    <w:p>
      <w:pPr>
        <w:ind w:firstLine="480"/>
        <w:rPr>
          <w:rFonts w:eastAsia="宋体" w:cs="Times New Roman"/>
        </w:rPr>
      </w:pPr>
      <w:r>
        <w:rPr>
          <w:rFonts w:eastAsia="宋体" w:cs="Times New Roman"/>
        </w:rPr>
        <w:t>坚持“注重源头控制、强化监控手段、污水集中处理、完善应急响应系统建设”的原则，其宗旨是采取主动控制，避免泄漏事故发生。</w:t>
      </w:r>
    </w:p>
    <w:p>
      <w:pPr>
        <w:ind w:firstLine="480"/>
        <w:rPr>
          <w:rFonts w:eastAsia="宋体" w:cs="Times New Roman"/>
        </w:rPr>
      </w:pPr>
      <w:r>
        <w:rPr>
          <w:rFonts w:eastAsia="宋体" w:cs="Times New Roman"/>
        </w:rPr>
        <w:t>（1）注重源头控制</w:t>
      </w:r>
    </w:p>
    <w:p>
      <w:pPr>
        <w:ind w:firstLine="480"/>
        <w:rPr>
          <w:rFonts w:eastAsia="宋体" w:cs="Times New Roman"/>
        </w:rPr>
      </w:pPr>
      <w:r>
        <w:rPr>
          <w:rFonts w:eastAsia="宋体" w:cs="Times New Roman"/>
        </w:rPr>
        <w:t>主要是在物料管道的工程设计、施工、运行管理等方面采取控制措施，保证施工质量，投产前按要求试压、检查焊缝质量，防止或将物料泄漏的可能性降到最低限度。定期检修，全线每年至少检修一次，对管道易腐蚀部位定期更换部件或进行维护，保证管线无腐蚀、无泄漏，做到提前发现问题及时处理。</w:t>
      </w:r>
    </w:p>
    <w:p>
      <w:pPr>
        <w:ind w:firstLine="480"/>
        <w:rPr>
          <w:rFonts w:eastAsia="宋体" w:cs="Times New Roman"/>
        </w:rPr>
      </w:pPr>
      <w:r>
        <w:rPr>
          <w:rFonts w:eastAsia="宋体" w:cs="Times New Roman"/>
        </w:rPr>
        <w:t>（2）强化监控手段</w:t>
      </w:r>
    </w:p>
    <w:p>
      <w:pPr>
        <w:ind w:firstLine="480"/>
        <w:rPr>
          <w:rFonts w:eastAsia="宋体" w:cs="Times New Roman"/>
        </w:rPr>
      </w:pPr>
      <w:r>
        <w:rPr>
          <w:rFonts w:eastAsia="宋体" w:cs="Times New Roman"/>
        </w:rPr>
        <w:t>定期巡检，采取先进的、自动化程度高的管线检漏、报警和定位系统，达到实时监控、准确及时报警和定位、快速处理泄漏事故，一旦发生泄漏事故，及时关闭阀门，将泄漏事故发生和持续的时间控制在最短范围内，避免或将造成影响控制在最小范围内。</w:t>
      </w:r>
    </w:p>
    <w:p>
      <w:pPr>
        <w:ind w:firstLine="480"/>
        <w:rPr>
          <w:rFonts w:eastAsia="宋体" w:cs="Times New Roman"/>
        </w:rPr>
      </w:pPr>
      <w:r>
        <w:rPr>
          <w:rFonts w:eastAsia="宋体" w:cs="Times New Roman"/>
        </w:rPr>
        <w:t>拟建项目建设部门设置了专业科室，负责泵站和管道沿线设备、管道的维修、保养、日常检验检测和消防管理工作，要避免人为破坏。</w:t>
      </w:r>
    </w:p>
    <w:p>
      <w:pPr>
        <w:ind w:firstLine="480"/>
        <w:rPr>
          <w:rFonts w:eastAsia="宋体" w:cs="Times New Roman"/>
        </w:rPr>
      </w:pPr>
      <w:r>
        <w:rPr>
          <w:rFonts w:eastAsia="宋体" w:cs="Times New Roman"/>
        </w:rPr>
        <w:t>（3）污染物集中处理</w:t>
      </w:r>
    </w:p>
    <w:p>
      <w:pPr>
        <w:ind w:firstLine="480"/>
        <w:rPr>
          <w:rFonts w:eastAsia="宋体" w:cs="Times New Roman"/>
        </w:rPr>
      </w:pPr>
      <w:r>
        <w:rPr>
          <w:rFonts w:eastAsia="宋体" w:cs="Times New Roman"/>
        </w:rPr>
        <w:t>若发生泄漏事故，要对泄漏部位的污水、污泥及时集中处理，避免污染源扩散。同时对泄漏点附近地下水进行抽水处理，必要时对已被污染的土壤用新鲜土壤进行置换。</w:t>
      </w:r>
    </w:p>
    <w:p>
      <w:pPr>
        <w:ind w:firstLine="480"/>
        <w:rPr>
          <w:rFonts w:eastAsia="宋体" w:cs="Times New Roman"/>
        </w:rPr>
      </w:pPr>
      <w:r>
        <w:rPr>
          <w:rFonts w:eastAsia="宋体" w:cs="Times New Roman"/>
        </w:rPr>
        <w:t>（4）完善应急响应措施</w:t>
      </w:r>
    </w:p>
    <w:p>
      <w:pPr>
        <w:ind w:firstLine="480"/>
        <w:rPr>
          <w:rFonts w:eastAsia="宋体" w:cs="Times New Roman"/>
        </w:rPr>
      </w:pPr>
      <w:r>
        <w:rPr>
          <w:rFonts w:eastAsia="宋体" w:cs="Times New Roman"/>
        </w:rPr>
        <w:t>通过实时监控系统，随时掌握管道运行情况信息，污染事故一旦发生，立即启动应急防范措施，减少事故影响。</w:t>
      </w:r>
    </w:p>
    <w:p>
      <w:pPr>
        <w:ind w:firstLine="480"/>
        <w:rPr>
          <w:rFonts w:eastAsia="宋体" w:cs="Times New Roman"/>
        </w:rPr>
      </w:pPr>
      <w:r>
        <w:rPr>
          <w:rFonts w:eastAsia="宋体" w:cs="Times New Roman"/>
        </w:rPr>
        <w:t>（5）加强管理</w:t>
      </w:r>
    </w:p>
    <w:p>
      <w:pPr>
        <w:ind w:firstLine="480"/>
        <w:rPr>
          <w:rFonts w:eastAsia="宋体" w:cs="Times New Roman"/>
        </w:rPr>
      </w:pPr>
      <w:r>
        <w:rPr>
          <w:rFonts w:eastAsia="宋体" w:cs="Times New Roman"/>
        </w:rPr>
        <w:t>在管道中心线两侧各200m范围内禁止进行爆破作业及大型工程设施的规划；本工程沿线设置标志桩、警示牌和标志带等永久性标志；管道安全防护带内禁止挖掘、取土、打桩等活动，禁止种植林木等根深作物，禁止堆放大宗物资及其他可能导致管线遭受损坏的工程活动，管道上方禁止新建、扩建公路交叉、管道交叉、通信及电力电缆交叉等。</w:t>
      </w:r>
    </w:p>
    <w:p>
      <w:pPr>
        <w:ind w:firstLine="480"/>
        <w:rPr>
          <w:rFonts w:eastAsia="宋体" w:cs="Times New Roman"/>
          <w:bCs/>
        </w:rPr>
      </w:pPr>
      <w:bookmarkStart w:id="42" w:name="_Toc500843544"/>
      <w:r>
        <w:rPr>
          <w:rFonts w:hint="eastAsia" w:eastAsia="宋体" w:cs="Times New Roman"/>
          <w:bCs/>
        </w:rPr>
        <w:t>（四）</w:t>
      </w:r>
      <w:r>
        <w:rPr>
          <w:rFonts w:eastAsia="宋体" w:cs="Times New Roman"/>
          <w:bCs/>
        </w:rPr>
        <w:t>环境管理</w:t>
      </w:r>
      <w:bookmarkEnd w:id="42"/>
    </w:p>
    <w:p>
      <w:pPr>
        <w:ind w:firstLine="480"/>
        <w:rPr>
          <w:rFonts w:eastAsia="宋体" w:cs="Times New Roman"/>
        </w:rPr>
      </w:pPr>
      <w:r>
        <w:rPr>
          <w:rFonts w:eastAsia="宋体" w:cs="Times New Roman"/>
        </w:rPr>
        <w:t>加强思想教育，提高全体员工的环保意识；健全管理机制，对于可能发生泄漏的污染源进行认真排查、登记，建立健全定期巡检制度，及时发现，及时解决；对可能发生突发事件制定应急预案，采取相应有效措施；建立从设计、施工、试运行、生产操作以及检修全过程健全的监管体系，确保设计水平、施工质量和运行操作等的正确实施。</w:t>
      </w:r>
    </w:p>
    <w:p>
      <w:pPr>
        <w:ind w:firstLine="480"/>
        <w:rPr>
          <w:rFonts w:eastAsia="宋体" w:cs="Times New Roman"/>
          <w:szCs w:val="24"/>
        </w:rPr>
      </w:pPr>
      <w:r>
        <w:rPr>
          <w:rFonts w:eastAsia="宋体" w:cs="Times New Roman"/>
          <w:szCs w:val="24"/>
        </w:rPr>
        <w:t>为保证地下水监测有效、有序管理，须制定相关规定、明确职责，采取以下管理措施和技术措施：</w:t>
      </w:r>
    </w:p>
    <w:p>
      <w:pPr>
        <w:ind w:firstLine="480"/>
        <w:rPr>
          <w:rFonts w:eastAsia="宋体" w:cs="Times New Roman"/>
          <w:szCs w:val="24"/>
        </w:rPr>
      </w:pPr>
      <w:r>
        <w:rPr>
          <w:rFonts w:eastAsia="宋体" w:cs="Times New Roman"/>
          <w:szCs w:val="24"/>
        </w:rPr>
        <w:t>（1）管理措施</w:t>
      </w:r>
    </w:p>
    <w:p>
      <w:pPr>
        <w:ind w:firstLine="480"/>
        <w:rPr>
          <w:rFonts w:eastAsia="宋体" w:cs="Times New Roman"/>
          <w:szCs w:val="24"/>
        </w:rPr>
      </w:pPr>
      <w:r>
        <w:rPr>
          <w:rFonts w:hint="eastAsia" w:ascii="宋体" w:hAnsi="宋体" w:eastAsia="宋体" w:cs="宋体"/>
          <w:szCs w:val="24"/>
        </w:rPr>
        <w:t>①</w:t>
      </w:r>
      <w:r>
        <w:rPr>
          <w:rFonts w:eastAsia="宋体" w:cs="Times New Roman"/>
          <w:szCs w:val="24"/>
        </w:rPr>
        <w:t>防止地下水污染管理的职责属于环境保护管理部门的职责之一。项目区环境保护管理部门指派专人负责防止地下水污染管理工作。</w:t>
      </w:r>
    </w:p>
    <w:p>
      <w:pPr>
        <w:ind w:firstLine="480"/>
        <w:rPr>
          <w:rFonts w:eastAsia="宋体" w:cs="Times New Roman"/>
          <w:szCs w:val="24"/>
        </w:rPr>
      </w:pPr>
      <w:r>
        <w:rPr>
          <w:rFonts w:hint="eastAsia" w:ascii="宋体" w:hAnsi="宋体" w:eastAsia="宋体" w:cs="宋体"/>
          <w:szCs w:val="24"/>
        </w:rPr>
        <w:t>②</w:t>
      </w:r>
      <w:r>
        <w:rPr>
          <w:rFonts w:eastAsia="宋体" w:cs="Times New Roman"/>
          <w:szCs w:val="24"/>
        </w:rPr>
        <w:t>环境保护管理部门应委托具有监测资质的单位负责地下水监测工作，按要求及时分析整理原始资料、监测报告的编写工作。</w:t>
      </w:r>
    </w:p>
    <w:p>
      <w:pPr>
        <w:ind w:firstLine="480"/>
        <w:rPr>
          <w:rFonts w:eastAsia="宋体" w:cs="Times New Roman"/>
          <w:szCs w:val="24"/>
        </w:rPr>
      </w:pPr>
      <w:r>
        <w:rPr>
          <w:rFonts w:hint="eastAsia" w:ascii="宋体" w:hAnsi="宋体" w:eastAsia="宋体" w:cs="宋体"/>
          <w:szCs w:val="24"/>
        </w:rPr>
        <w:t>③</w:t>
      </w:r>
      <w:r>
        <w:rPr>
          <w:rFonts w:eastAsia="宋体" w:cs="Times New Roman"/>
          <w:szCs w:val="24"/>
        </w:rPr>
        <w:t>建立地下水监测数据信息管理系统，与工程区环境管理系统相联系。</w:t>
      </w:r>
    </w:p>
    <w:p>
      <w:pPr>
        <w:ind w:firstLine="480"/>
        <w:rPr>
          <w:rFonts w:eastAsia="宋体" w:cs="Times New Roman"/>
          <w:szCs w:val="24"/>
        </w:rPr>
      </w:pPr>
      <w:r>
        <w:rPr>
          <w:rFonts w:hint="eastAsia" w:ascii="宋体" w:hAnsi="宋体" w:eastAsia="宋体" w:cs="宋体"/>
          <w:szCs w:val="24"/>
        </w:rPr>
        <w:t>④</w:t>
      </w:r>
      <w:r>
        <w:rPr>
          <w:rFonts w:eastAsia="宋体" w:cs="Times New Roman"/>
          <w:szCs w:val="24"/>
        </w:rPr>
        <w:t>根据实际情况，按事故的性质、类型、影响范围、严重后果分等级地制订相应的预案。在制定预案时要根据工程环境污染事故潜在威胁的情况，认真细致地考虑各项影响因素，适当的时候组织有关部门、人员进行演练，不断补充完善。</w:t>
      </w:r>
    </w:p>
    <w:p>
      <w:pPr>
        <w:ind w:firstLine="480"/>
        <w:rPr>
          <w:rFonts w:eastAsia="宋体" w:cs="Times New Roman"/>
          <w:szCs w:val="24"/>
        </w:rPr>
      </w:pPr>
      <w:r>
        <w:rPr>
          <w:rFonts w:eastAsia="宋体" w:cs="Times New Roman"/>
          <w:szCs w:val="24"/>
        </w:rPr>
        <w:t>（2）技术措施</w:t>
      </w:r>
    </w:p>
    <w:p>
      <w:pPr>
        <w:widowControl/>
        <w:ind w:firstLine="480"/>
        <w:jc w:val="left"/>
        <w:rPr>
          <w:rFonts w:eastAsia="宋体" w:cs="Times New Roman"/>
          <w:szCs w:val="24"/>
        </w:rPr>
      </w:pPr>
      <w:r>
        <w:rPr>
          <w:rFonts w:hint="eastAsia" w:ascii="宋体" w:hAnsi="宋体" w:eastAsia="宋体" w:cs="宋体"/>
          <w:kern w:val="0"/>
          <w:szCs w:val="24"/>
        </w:rPr>
        <w:t>应结合管道线路沿线的地下水监控点，对管线施工对地下水水位及水质变化情况进行监督性监测</w:t>
      </w:r>
      <w:r>
        <w:rPr>
          <w:rFonts w:eastAsia="宋体" w:cs="Times New Roman"/>
          <w:szCs w:val="24"/>
        </w:rPr>
        <w:t>。</w:t>
      </w:r>
    </w:p>
    <w:p>
      <w:pPr>
        <w:ind w:firstLine="480"/>
      </w:pPr>
      <w:r>
        <w:rPr>
          <w:rFonts w:hint="eastAsia"/>
        </w:rPr>
        <w:t>（五）</w:t>
      </w:r>
      <w:r>
        <w:t>小结</w:t>
      </w:r>
    </w:p>
    <w:p>
      <w:pPr>
        <w:ind w:firstLine="480"/>
        <w:rPr>
          <w:rFonts w:eastAsia="宋体" w:cs="Times New Roman"/>
          <w:szCs w:val="24"/>
        </w:rPr>
      </w:pPr>
      <w:r>
        <w:rPr>
          <w:rFonts w:eastAsia="宋体" w:cs="Times New Roman"/>
          <w:szCs w:val="24"/>
        </w:rPr>
        <w:t>施工期，在正常工况下，如果是管线等可视场所发生硬化面破损，即使有物料或污水等泄漏，必须及时采取措施，不能任由物料或污水漫流渗漏，而对于泄漏初期短时间物料暴露而污染的少量土壤，则会尽快通过挖出进行处置，不会任其渗入地下水。正常工况下建设项目对地下水环境影响较小。</w:t>
      </w:r>
    </w:p>
    <w:p>
      <w:pPr>
        <w:ind w:firstLine="480"/>
        <w:rPr>
          <w:rFonts w:cs="Times New Roman"/>
          <w:snapToGrid w:val="0"/>
          <w:szCs w:val="24"/>
        </w:rPr>
      </w:pPr>
      <w:r>
        <w:rPr>
          <w:rFonts w:eastAsia="宋体" w:cs="Times New Roman"/>
          <w:szCs w:val="24"/>
        </w:rPr>
        <w:t>运营期，在非正常工况下，管道</w:t>
      </w:r>
      <w:r>
        <w:rPr>
          <w:rFonts w:hint="eastAsia" w:eastAsia="宋体" w:cs="Times New Roman"/>
          <w:szCs w:val="24"/>
        </w:rPr>
        <w:t>破损引发的燃爆事件造成的消防废水</w:t>
      </w:r>
      <w:r>
        <w:rPr>
          <w:rFonts w:eastAsia="宋体" w:cs="Times New Roman"/>
          <w:szCs w:val="24"/>
        </w:rPr>
        <w:t>会对包气带造成一定程度的影响</w:t>
      </w:r>
      <w:r>
        <w:rPr>
          <w:rFonts w:hint="eastAsia" w:eastAsia="宋体" w:cs="Times New Roman"/>
          <w:szCs w:val="24"/>
        </w:rPr>
        <w:t>，</w:t>
      </w:r>
      <w:r>
        <w:rPr>
          <w:rFonts w:eastAsia="宋体" w:cs="Times New Roman"/>
          <w:szCs w:val="24"/>
        </w:rPr>
        <w:t>对潜水含水层造成的影响，</w:t>
      </w:r>
      <w:r>
        <w:rPr>
          <w:rFonts w:hint="eastAsia" w:eastAsia="宋体" w:cs="Times New Roman"/>
          <w:szCs w:val="24"/>
        </w:rPr>
        <w:t>因此，</w:t>
      </w:r>
      <w:r>
        <w:rPr>
          <w:rFonts w:eastAsia="宋体" w:cs="Times New Roman"/>
          <w:szCs w:val="24"/>
        </w:rPr>
        <w:t>一旦发现监测井出现异常，由建设单位负责地下水污染治理等措施。</w:t>
      </w:r>
    </w:p>
    <w:bookmarkEnd w:id="38"/>
    <w:bookmarkEnd w:id="39"/>
    <w:bookmarkEnd w:id="40"/>
    <w:p>
      <w:pPr>
        <w:pStyle w:val="5"/>
        <w:rPr>
          <w:rFonts w:eastAsiaTheme="minorEastAsia"/>
        </w:rPr>
      </w:pPr>
      <w:bookmarkStart w:id="43" w:name="_Toc505620401"/>
      <w:bookmarkStart w:id="44" w:name="_Toc17386418"/>
      <w:r>
        <w:rPr>
          <w:rFonts w:eastAsiaTheme="minorEastAsia"/>
        </w:rPr>
        <w:t>声环境影响预测与评价</w:t>
      </w:r>
      <w:bookmarkEnd w:id="43"/>
      <w:bookmarkEnd w:id="44"/>
    </w:p>
    <w:p>
      <w:pPr>
        <w:ind w:firstLine="480"/>
        <w:rPr>
          <w:rFonts w:cs="Times New Roman"/>
          <w:snapToGrid w:val="0"/>
        </w:rPr>
      </w:pPr>
      <w:r>
        <w:rPr>
          <w:rFonts w:cs="Times New Roman"/>
          <w:snapToGrid w:val="0"/>
        </w:rPr>
        <w:t>本工程管道运营期采用密闭输送工艺，正常情况下不会产生噪声。</w:t>
      </w:r>
    </w:p>
    <w:p>
      <w:pPr>
        <w:pStyle w:val="5"/>
        <w:rPr>
          <w:rFonts w:eastAsiaTheme="minorEastAsia"/>
          <w:snapToGrid w:val="0"/>
        </w:rPr>
      </w:pPr>
      <w:r>
        <w:rPr>
          <w:rFonts w:eastAsiaTheme="minorEastAsia"/>
          <w:snapToGrid w:val="0"/>
        </w:rPr>
        <w:t>土壤环境影响分析</w:t>
      </w:r>
    </w:p>
    <w:p>
      <w:pPr>
        <w:ind w:firstLine="480"/>
      </w:pPr>
      <w:r>
        <w:rPr>
          <w:rFonts w:hint="eastAsia"/>
        </w:rPr>
        <w:t>1、 土壤环境影响评价等级判定</w:t>
      </w:r>
    </w:p>
    <w:p>
      <w:pPr>
        <w:ind w:firstLine="480"/>
        <w:rPr>
          <w:rFonts w:cs="Times New Roman"/>
          <w:bCs/>
        </w:rPr>
      </w:pPr>
      <w:r>
        <w:rPr>
          <w:rFonts w:hint="eastAsia" w:cs="Times New Roman"/>
          <w:bCs/>
        </w:rPr>
        <w:t>（1）</w:t>
      </w:r>
      <w:r>
        <w:rPr>
          <w:rFonts w:cs="Times New Roman"/>
          <w:bCs/>
        </w:rPr>
        <w:t>影响识别</w:t>
      </w:r>
    </w:p>
    <w:p>
      <w:pPr>
        <w:ind w:firstLine="480"/>
        <w:rPr>
          <w:rFonts w:cs="Times New Roman"/>
          <w:bCs/>
        </w:rPr>
      </w:pPr>
      <w:r>
        <w:rPr>
          <w:rFonts w:cs="Times New Roman"/>
          <w:bCs/>
        </w:rPr>
        <w:t>根据《环境影响评价技术导则 土壤环境（试行）》（HJ964-2018）附录A，本项目为交通运输仓储邮政业，属于Ⅳ类建设项目。</w:t>
      </w:r>
      <w:r>
        <w:rPr>
          <w:rFonts w:hint="eastAsia" w:cs="Times New Roman"/>
          <w:bCs/>
        </w:rPr>
        <w:t>本项目为线性工程，未设置场站、阀室、维修场所等，因此可不开展土壤环境评价工作。</w:t>
      </w:r>
    </w:p>
    <w:p>
      <w:pPr>
        <w:ind w:firstLine="480"/>
        <w:rPr>
          <w:rFonts w:cs="Times New Roman"/>
          <w:bCs/>
        </w:rPr>
      </w:pPr>
      <w:r>
        <w:rPr>
          <w:rFonts w:cs="Times New Roman"/>
          <w:bCs/>
        </w:rPr>
        <w:t>建设项目属于输送管线项目，以工程边界两侧向外延伸0.2km作为调查范围。</w:t>
      </w:r>
    </w:p>
    <w:p>
      <w:pPr>
        <w:ind w:firstLine="480"/>
      </w:pPr>
      <w:r>
        <w:rPr>
          <w:rFonts w:hint="eastAsia"/>
        </w:rPr>
        <w:t>2、 土壤保护措施与对策</w:t>
      </w:r>
    </w:p>
    <w:p>
      <w:pPr>
        <w:widowControl/>
        <w:ind w:firstLine="480"/>
        <w:jc w:val="left"/>
        <w:rPr>
          <w:rFonts w:cs="Times New Roman"/>
          <w:bCs/>
        </w:rPr>
      </w:pPr>
      <w:r>
        <w:rPr>
          <w:rFonts w:hint="eastAsia" w:cs="Times New Roman"/>
          <w:bCs/>
        </w:rPr>
        <w:t>（1）</w:t>
      </w:r>
      <w:r>
        <w:rPr>
          <w:rFonts w:cs="Times New Roman"/>
          <w:bCs/>
        </w:rPr>
        <w:t>土壤环境质量现状保障措施</w:t>
      </w:r>
    </w:p>
    <w:p>
      <w:pPr>
        <w:ind w:firstLine="480"/>
        <w:rPr>
          <w:rFonts w:cs="Times New Roman"/>
        </w:rPr>
      </w:pPr>
      <w:r>
        <w:rPr>
          <w:rFonts w:cs="Times New Roman"/>
          <w:bCs/>
        </w:rPr>
        <w:t>根据现状调查，评价区域内各监测点均能够达到《土壤环境质量标准 建设用地土壤污染风险管控标准》</w:t>
      </w:r>
      <w:r>
        <w:rPr>
          <w:rFonts w:hint="eastAsia" w:cs="Times New Roman"/>
          <w:bCs/>
        </w:rPr>
        <w:t>（</w:t>
      </w:r>
      <w:r>
        <w:rPr>
          <w:rFonts w:cs="Times New Roman"/>
          <w:bCs/>
        </w:rPr>
        <w:t>GB36600-2018</w:t>
      </w:r>
      <w:r>
        <w:rPr>
          <w:rFonts w:hint="eastAsia" w:cs="Times New Roman"/>
          <w:bCs/>
        </w:rPr>
        <w:t>）</w:t>
      </w:r>
      <w:r>
        <w:rPr>
          <w:rFonts w:cs="Times New Roman"/>
          <w:bCs/>
        </w:rPr>
        <w:t xml:space="preserve"> 第二类用地的土壤污染风险筛选值，</w:t>
      </w:r>
      <w:r>
        <w:rPr>
          <w:rFonts w:cs="Times New Roman"/>
        </w:rPr>
        <w:t>土壤环境质量状况良好。</w:t>
      </w:r>
    </w:p>
    <w:p>
      <w:pPr>
        <w:ind w:firstLine="480"/>
        <w:rPr>
          <w:rFonts w:cs="Times New Roman"/>
          <w:bCs/>
        </w:rPr>
      </w:pPr>
      <w:r>
        <w:rPr>
          <w:rFonts w:cs="Times New Roman"/>
        </w:rPr>
        <w:t>管道采取严格的防腐、保温措施，管沟已采取严格防渗措施，避免生产过程中物料垂直渗漏侵入土壤，从而造成土壤污染，另外项目设置了三级防控体系，事故状态下废水得到妥善处置</w:t>
      </w:r>
      <w:r>
        <w:rPr>
          <w:rFonts w:cs="Times New Roman"/>
          <w:bCs/>
        </w:rPr>
        <w:t>。</w:t>
      </w:r>
    </w:p>
    <w:p>
      <w:pPr>
        <w:ind w:firstLine="480"/>
        <w:rPr>
          <w:rFonts w:cs="Times New Roman"/>
          <w:bCs/>
        </w:rPr>
      </w:pPr>
      <w:r>
        <w:rPr>
          <w:rFonts w:hint="eastAsia" w:cs="Times New Roman"/>
          <w:bCs/>
        </w:rPr>
        <w:t>（2）</w:t>
      </w:r>
      <w:r>
        <w:rPr>
          <w:rFonts w:cs="Times New Roman"/>
          <w:bCs/>
        </w:rPr>
        <w:t>过程控制措施</w:t>
      </w:r>
    </w:p>
    <w:p>
      <w:pPr>
        <w:ind w:firstLine="480"/>
        <w:rPr>
          <w:rFonts w:cs="Times New Roman"/>
          <w:bCs/>
        </w:rPr>
      </w:pPr>
      <w:r>
        <w:rPr>
          <w:rFonts w:hint="eastAsia" w:ascii="宋体" w:hAnsi="宋体" w:eastAsia="宋体" w:cs="宋体"/>
          <w:bCs/>
        </w:rPr>
        <w:t>①</w:t>
      </w:r>
      <w:r>
        <w:rPr>
          <w:rFonts w:cs="Times New Roman"/>
          <w:bCs/>
        </w:rPr>
        <w:t>占地范围内应采取绿化措施，以种植具有较强吸附能力的植物为主；</w:t>
      </w:r>
    </w:p>
    <w:p>
      <w:pPr>
        <w:ind w:firstLine="480"/>
        <w:rPr>
          <w:rFonts w:cs="Times New Roman"/>
          <w:bCs/>
        </w:rPr>
      </w:pPr>
      <w:r>
        <w:rPr>
          <w:rFonts w:hint="eastAsia" w:ascii="宋体" w:hAnsi="宋体" w:eastAsia="宋体" w:cs="宋体"/>
          <w:bCs/>
        </w:rPr>
        <w:t>②</w:t>
      </w:r>
      <w:r>
        <w:rPr>
          <w:rFonts w:cs="Times New Roman"/>
          <w:bCs/>
        </w:rPr>
        <w:t>在生产过程中，做好设备的维护、检修，杜绝跑、冒、滴、漏现象。同时，加强污染物产生主要环节的安全防护、报警措施，以便及时发现事故隐患，采取有效的应对措施</w:t>
      </w:r>
      <w:r>
        <w:rPr>
          <w:rFonts w:hint="eastAsia" w:cs="Times New Roman"/>
          <w:bCs/>
        </w:rPr>
        <w:t>。</w:t>
      </w:r>
      <w:r>
        <w:rPr>
          <w:rFonts w:cs="Times New Roman"/>
          <w:bCs/>
        </w:rPr>
        <w:t xml:space="preserve"> </w:t>
      </w:r>
    </w:p>
    <w:p>
      <w:bookmarkStart w:id="45" w:name="_GoBack"/>
      <w:bookmarkEnd w:id="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E6B53"/>
    <w:multiLevelType w:val="singleLevel"/>
    <w:tmpl w:val="BD8E6B53"/>
    <w:lvl w:ilvl="0" w:tentative="0">
      <w:start w:val="3"/>
      <w:numFmt w:val="decimal"/>
      <w:suff w:val="nothing"/>
      <w:lvlText w:val="%1、"/>
      <w:lvlJc w:val="left"/>
    </w:lvl>
  </w:abstractNum>
  <w:abstractNum w:abstractNumId="1">
    <w:nsid w:val="5F38425B"/>
    <w:multiLevelType w:val="multilevel"/>
    <w:tmpl w:val="5F38425B"/>
    <w:lvl w:ilvl="0" w:tentative="0">
      <w:start w:val="1"/>
      <w:numFmt w:val="decimal"/>
      <w:pStyle w:val="3"/>
      <w:lvlText w:val="第 %1 章 "/>
      <w:lvlJc w:val="left"/>
      <w:pPr>
        <w:ind w:left="420" w:hanging="420"/>
      </w:pPr>
      <w:rPr>
        <w:rFonts w:hint="eastAsia" w:eastAsia="黑体"/>
        <w:b/>
        <w:i w:val="0"/>
        <w:sz w:val="36"/>
      </w:rPr>
    </w:lvl>
    <w:lvl w:ilvl="1" w:tentative="0">
      <w:start w:val="1"/>
      <w:numFmt w:val="decimal"/>
      <w:pStyle w:val="4"/>
      <w:lvlText w:val="%1.%2"/>
      <w:lvlJc w:val="left"/>
      <w:pPr>
        <w:ind w:left="0" w:firstLine="0"/>
      </w:pPr>
      <w:rPr>
        <w:rFonts w:hint="eastAsia"/>
      </w:rPr>
    </w:lvl>
    <w:lvl w:ilvl="2" w:tentative="0">
      <w:start w:val="1"/>
      <w:numFmt w:val="decimal"/>
      <w:pStyle w:val="5"/>
      <w:lvlText w:val="%1.%2.%3"/>
      <w:lvlJc w:val="left"/>
      <w:pPr>
        <w:ind w:left="0" w:firstLine="142"/>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80465"/>
    <w:rsid w:val="61E8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50" w:afterLines="50"/>
      <w:ind w:left="0" w:firstLine="0" w:firstLineChars="0"/>
      <w:jc w:val="center"/>
      <w:outlineLvl w:val="0"/>
    </w:pPr>
    <w:rPr>
      <w:rFonts w:eastAsia="黑体"/>
      <w:bCs/>
      <w:kern w:val="44"/>
      <w:sz w:val="36"/>
      <w:szCs w:val="44"/>
    </w:rPr>
  </w:style>
  <w:style w:type="paragraph" w:styleId="4">
    <w:name w:val="heading 2"/>
    <w:basedOn w:val="1"/>
    <w:next w:val="1"/>
    <w:unhideWhenUsed/>
    <w:qFormat/>
    <w:uiPriority w:val="0"/>
    <w:pPr>
      <w:keepNext/>
      <w:keepLines/>
      <w:numPr>
        <w:ilvl w:val="1"/>
        <w:numId w:val="1"/>
      </w:numPr>
      <w:spacing w:beforeLines="50"/>
      <w:ind w:firstLineChars="0"/>
      <w:outlineLvl w:val="1"/>
    </w:pPr>
    <w:rPr>
      <w:rFonts w:eastAsia="黑体" w:cstheme="majorBidi"/>
      <w:bCs/>
      <w:sz w:val="30"/>
      <w:szCs w:val="32"/>
    </w:rPr>
  </w:style>
  <w:style w:type="paragraph" w:styleId="5">
    <w:name w:val="heading 3"/>
    <w:basedOn w:val="1"/>
    <w:next w:val="1"/>
    <w:unhideWhenUsed/>
    <w:qFormat/>
    <w:uiPriority w:val="0"/>
    <w:pPr>
      <w:keepNext/>
      <w:keepLines/>
      <w:numPr>
        <w:ilvl w:val="2"/>
        <w:numId w:val="1"/>
      </w:numPr>
      <w:adjustRightInd w:val="0"/>
      <w:snapToGrid w:val="0"/>
      <w:spacing w:before="260" w:after="260" w:line="240" w:lineRule="auto"/>
      <w:ind w:firstLine="0" w:firstLineChars="0"/>
      <w:outlineLvl w:val="2"/>
    </w:pPr>
    <w:rPr>
      <w:rFonts w:eastAsia="黑体" w:cs="Times New Roman"/>
      <w:bCs/>
      <w:sz w:val="28"/>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li_正文"/>
    <w:basedOn w:val="1"/>
    <w:qFormat/>
    <w:uiPriority w:val="99"/>
    <w:pPr>
      <w:tabs>
        <w:tab w:val="left" w:pos="2340"/>
        <w:tab w:val="left" w:pos="4320"/>
      </w:tabs>
      <w:ind w:firstLine="530" w:firstLineChars="200"/>
      <w:jc w:val="left"/>
    </w:pPr>
    <w:rPr>
      <w:sz w:val="28"/>
      <w:szCs w:val="28"/>
    </w:rPr>
  </w:style>
  <w:style w:type="paragraph" w:styleId="6">
    <w:name w:val="Body Text Indent"/>
    <w:basedOn w:val="1"/>
    <w:next w:val="7"/>
    <w:qFormat/>
    <w:uiPriority w:val="0"/>
    <w:pPr>
      <w:widowControl/>
      <w:spacing w:line="480" w:lineRule="exact"/>
      <w:ind w:firstLine="500"/>
      <w:jc w:val="left"/>
    </w:pPr>
    <w:rPr>
      <w:rFonts w:ascii="黑体" w:hAnsi="宋体" w:eastAsia="黑体" w:cs="Times New Roman"/>
      <w:spacing w:val="10"/>
      <w:kern w:val="0"/>
      <w:szCs w:val="24"/>
    </w:rPr>
  </w:style>
  <w:style w:type="paragraph" w:customStyle="1" w:styleId="7">
    <w:name w:val="样式 正文文本缩进 + 行距: 1.5 倍行距"/>
    <w:basedOn w:val="8"/>
    <w:next w:val="9"/>
    <w:qFormat/>
    <w:uiPriority w:val="0"/>
    <w:pPr>
      <w:widowControl/>
      <w:spacing w:after="120"/>
      <w:ind w:left="90" w:leftChars="32" w:firstLine="560"/>
      <w:jc w:val="left"/>
    </w:pPr>
    <w:rPr>
      <w:rFonts w:cs="宋体"/>
      <w:sz w:val="21"/>
      <w:szCs w:val="24"/>
    </w:rPr>
  </w:style>
  <w:style w:type="paragraph" w:customStyle="1" w:styleId="8">
    <w:name w:val="正文文本缩进1"/>
    <w:basedOn w:val="1"/>
    <w:next w:val="7"/>
    <w:qFormat/>
    <w:uiPriority w:val="0"/>
    <w:pPr>
      <w:ind w:left="420" w:leftChars="200"/>
    </w:pPr>
    <w:rPr>
      <w:rFonts w:eastAsia="宋体"/>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next w:val="1"/>
    <w:qFormat/>
    <w:uiPriority w:val="0"/>
    <w:pPr>
      <w:widowControl w:val="0"/>
      <w:topLinePunct/>
      <w:spacing w:after="120" w:line="240" w:lineRule="auto"/>
      <w:ind w:left="420" w:leftChars="200" w:firstLine="420"/>
      <w:jc w:val="both"/>
    </w:pPr>
    <w:rPr>
      <w:rFonts w:ascii="宋体" w:eastAsia="华文仿宋" w:cs="MS Gothic"/>
      <w:color w:val="000000"/>
      <w:spacing w:val="0"/>
      <w:kern w:val="2"/>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2021-07-01T09:20:00Z</dcterms:created>
  <dc:creator>邵这这</dc:creator>
  <cp:lastModifiedBy>邵这这</cp:lastModifiedBy>
  <dcterms:modified xsi:type="dcterms:W3CDTF">2021-07-01T09:20:51Z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